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D110" w14:textId="4C6C7BE4" w:rsidR="0021140B" w:rsidRPr="001F1BE9" w:rsidRDefault="00492979" w:rsidP="00812EC0">
      <w:pPr>
        <w:jc w:val="center"/>
        <w:rPr>
          <w:rFonts w:ascii="ＭＳ ゴシック" w:eastAsia="ＭＳ ゴシック" w:hAnsi="ＭＳ ゴシック" w:cs="Arial"/>
          <w:b/>
          <w:color w:val="000000" w:themeColor="text1"/>
          <w:sz w:val="28"/>
          <w:szCs w:val="28"/>
        </w:rPr>
      </w:pPr>
      <w:r w:rsidRPr="001F1BE9">
        <w:rPr>
          <w:rFonts w:ascii="ＭＳ ゴシック" w:eastAsia="ＭＳ ゴシック" w:hAnsi="ＭＳ ゴシック" w:cs="Arial"/>
          <w:b/>
          <w:color w:val="000000" w:themeColor="text1"/>
          <w:sz w:val="28"/>
          <w:szCs w:val="28"/>
        </w:rPr>
        <w:t>日本生命倫理学会</w:t>
      </w:r>
      <w:r w:rsidR="00A8781F" w:rsidRPr="001F1BE9">
        <w:rPr>
          <w:rFonts w:ascii="ＭＳ ゴシック" w:eastAsia="ＭＳ ゴシック" w:hAnsi="ＭＳ ゴシック" w:cs="Arial" w:hint="eastAsia"/>
          <w:b/>
          <w:color w:val="000000" w:themeColor="text1"/>
          <w:sz w:val="28"/>
          <w:szCs w:val="28"/>
        </w:rPr>
        <w:t>第</w:t>
      </w:r>
      <w:r w:rsidR="007D4775" w:rsidRPr="001F1BE9">
        <w:rPr>
          <w:rFonts w:ascii="ＭＳ ゴシック" w:eastAsia="ＭＳ ゴシック" w:hAnsi="ＭＳ ゴシック" w:cs="Arial"/>
          <w:b/>
          <w:color w:val="000000" w:themeColor="text1"/>
          <w:sz w:val="28"/>
          <w:szCs w:val="28"/>
        </w:rPr>
        <w:t>3</w:t>
      </w:r>
      <w:r w:rsidR="00633350" w:rsidRPr="001F1BE9">
        <w:rPr>
          <w:rFonts w:ascii="ＭＳ ゴシック" w:eastAsia="ＭＳ ゴシック" w:hAnsi="ＭＳ ゴシック" w:cs="Arial"/>
          <w:b/>
          <w:color w:val="000000" w:themeColor="text1"/>
          <w:sz w:val="28"/>
          <w:szCs w:val="28"/>
        </w:rPr>
        <w:t>4</w:t>
      </w:r>
      <w:r w:rsidR="00A8781F" w:rsidRPr="001F1BE9">
        <w:rPr>
          <w:rFonts w:ascii="ＭＳ ゴシック" w:eastAsia="ＭＳ ゴシック" w:hAnsi="ＭＳ ゴシック" w:cs="Arial" w:hint="eastAsia"/>
          <w:b/>
          <w:color w:val="000000" w:themeColor="text1"/>
          <w:sz w:val="28"/>
          <w:szCs w:val="28"/>
        </w:rPr>
        <w:t>回年次大会</w:t>
      </w:r>
      <w:r w:rsidR="00A8781F" w:rsidRPr="001F1BE9">
        <w:rPr>
          <w:rFonts w:ascii="ＭＳ ゴシック" w:eastAsia="ＭＳ ゴシック" w:hAnsi="ＭＳ ゴシック" w:cs="Arial"/>
          <w:b/>
          <w:color w:val="000000" w:themeColor="text1"/>
          <w:sz w:val="28"/>
          <w:szCs w:val="28"/>
        </w:rPr>
        <w:t xml:space="preserve"> </w:t>
      </w:r>
      <w:r w:rsidR="00A8781F" w:rsidRPr="001F1BE9">
        <w:rPr>
          <w:rFonts w:ascii="ＭＳ ゴシック" w:eastAsia="ＭＳ ゴシック" w:hAnsi="ＭＳ ゴシック" w:cs="Arial" w:hint="eastAsia"/>
          <w:b/>
          <w:color w:val="000000" w:themeColor="text1"/>
          <w:sz w:val="28"/>
          <w:szCs w:val="28"/>
        </w:rPr>
        <w:t>国際セッション発表者の募集</w:t>
      </w:r>
    </w:p>
    <w:p w14:paraId="65DCA857" w14:textId="77777777" w:rsidR="00A8781F" w:rsidRPr="001F1BE9" w:rsidRDefault="00A8781F" w:rsidP="00A8781F">
      <w:pPr>
        <w:jc w:val="right"/>
        <w:rPr>
          <w:rFonts w:ascii="ＭＳ ゴシック" w:eastAsia="ＭＳ ゴシック" w:hAnsi="ＭＳ ゴシック" w:cs="Arial"/>
          <w:bCs/>
          <w:color w:val="000000" w:themeColor="text1"/>
        </w:rPr>
      </w:pPr>
    </w:p>
    <w:p w14:paraId="23247152" w14:textId="71A3959C" w:rsidR="00614977" w:rsidRPr="001F1BE9" w:rsidRDefault="00A8781F" w:rsidP="00DC15D6">
      <w:pPr>
        <w:jc w:val="right"/>
        <w:rPr>
          <w:rFonts w:ascii="ＭＳ ゴシック" w:eastAsia="ＭＳ ゴシック" w:hAnsi="ＭＳ ゴシック" w:cs="Arial"/>
          <w:bCs/>
          <w:color w:val="000000" w:themeColor="text1"/>
        </w:rPr>
      </w:pPr>
      <w:r w:rsidRPr="001F1BE9">
        <w:rPr>
          <w:rFonts w:ascii="ＭＳ ゴシック" w:eastAsia="ＭＳ ゴシック" w:hAnsi="ＭＳ ゴシック" w:cs="Arial" w:hint="eastAsia"/>
          <w:bCs/>
          <w:color w:val="000000" w:themeColor="text1"/>
        </w:rPr>
        <w:t>国際交流委員会</w:t>
      </w:r>
    </w:p>
    <w:p w14:paraId="2BAF6A0C" w14:textId="77777777" w:rsidR="00DC15D6" w:rsidRPr="001F1BE9" w:rsidRDefault="00DC15D6" w:rsidP="00DC15D6">
      <w:pPr>
        <w:jc w:val="right"/>
        <w:rPr>
          <w:rFonts w:ascii="ＭＳ ゴシック" w:eastAsia="ＭＳ ゴシック" w:hAnsi="ＭＳ ゴシック" w:cs="Arial"/>
          <w:bCs/>
          <w:color w:val="000000" w:themeColor="text1"/>
        </w:rPr>
      </w:pPr>
    </w:p>
    <w:p w14:paraId="481C14AE" w14:textId="4AC11837" w:rsidR="00492979" w:rsidRPr="001F1BE9" w:rsidRDefault="00753A02" w:rsidP="00812EC0">
      <w:pPr>
        <w:pStyle w:val="a3"/>
        <w:widowControl/>
        <w:numPr>
          <w:ilvl w:val="0"/>
          <w:numId w:val="1"/>
        </w:numPr>
        <w:ind w:leftChars="0"/>
        <w:rPr>
          <w:rFonts w:ascii="ＭＳ ゴシック" w:eastAsia="ＭＳ ゴシック" w:hAnsi="ＭＳ ゴシック" w:cs="Arial"/>
          <w:b/>
          <w:color w:val="000000" w:themeColor="text1"/>
          <w:kern w:val="0"/>
          <w:sz w:val="21"/>
          <w:szCs w:val="21"/>
        </w:rPr>
      </w:pPr>
      <w:r w:rsidRPr="001F1BE9">
        <w:rPr>
          <w:rFonts w:ascii="ＭＳ ゴシック" w:eastAsia="ＭＳ ゴシック" w:hAnsi="ＭＳ ゴシック" w:cs="Arial" w:hint="eastAsia"/>
          <w:b/>
          <w:color w:val="000000" w:themeColor="text1"/>
          <w:kern w:val="0"/>
          <w:sz w:val="21"/>
          <w:szCs w:val="21"/>
        </w:rPr>
        <w:t>概要</w:t>
      </w:r>
    </w:p>
    <w:p w14:paraId="268815CB" w14:textId="5283BC28" w:rsidR="00F652E2" w:rsidRPr="001F1BE9" w:rsidRDefault="00F652E2" w:rsidP="00566A58">
      <w:pPr>
        <w:ind w:firstLineChars="50" w:firstLine="100"/>
        <w:jc w:val="both"/>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color w:val="000000" w:themeColor="text1"/>
          <w:sz w:val="20"/>
          <w:szCs w:val="20"/>
        </w:rPr>
        <w:t>日本生命倫理学会第3</w:t>
      </w:r>
      <w:r w:rsidR="00633350" w:rsidRPr="001F1BE9">
        <w:rPr>
          <w:rFonts w:ascii="ＭＳ ゴシック" w:eastAsia="ＭＳ ゴシック" w:hAnsi="ＭＳ ゴシック" w:cs="Arial"/>
          <w:color w:val="000000" w:themeColor="text1"/>
          <w:sz w:val="20"/>
          <w:szCs w:val="20"/>
        </w:rPr>
        <w:t>4</w:t>
      </w:r>
      <w:r w:rsidRPr="001F1BE9">
        <w:rPr>
          <w:rFonts w:ascii="ＭＳ ゴシック" w:eastAsia="ＭＳ ゴシック" w:hAnsi="ＭＳ ゴシック" w:cs="Arial" w:hint="eastAsia"/>
          <w:color w:val="000000" w:themeColor="text1"/>
          <w:sz w:val="20"/>
          <w:szCs w:val="20"/>
        </w:rPr>
        <w:t>回年次大会において、「</w:t>
      </w:r>
      <w:r w:rsidR="007D4775" w:rsidRPr="001F1BE9">
        <w:rPr>
          <w:rFonts w:ascii="ＭＳ ゴシック" w:eastAsia="ＭＳ ゴシック" w:hAnsi="ＭＳ ゴシック" w:cs="Arial" w:hint="eastAsia"/>
          <w:color w:val="000000" w:themeColor="text1"/>
          <w:sz w:val="20"/>
          <w:szCs w:val="20"/>
        </w:rPr>
        <w:t>臨床現場の改善とその課題</w:t>
      </w:r>
      <w:r w:rsidRPr="001F1BE9">
        <w:rPr>
          <w:rFonts w:ascii="ＭＳ ゴシック" w:eastAsia="ＭＳ ゴシック" w:hAnsi="ＭＳ ゴシック" w:cs="Arial" w:hint="eastAsia"/>
          <w:color w:val="000000" w:themeColor="text1"/>
          <w:sz w:val="20"/>
          <w:szCs w:val="20"/>
        </w:rPr>
        <w:t>」をテーマとする国際セッションを設けることになりました。このセッションにおいて、英語で発表できる会員を若干名（1-2名程度）募集いたします。</w:t>
      </w:r>
    </w:p>
    <w:p w14:paraId="020267BB" w14:textId="0CB1AC2F" w:rsidR="0000469D" w:rsidRPr="001F1BE9" w:rsidRDefault="00753A02" w:rsidP="00566A58">
      <w:pPr>
        <w:ind w:firstLineChars="50" w:firstLine="100"/>
        <w:jc w:val="both"/>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color w:val="000000" w:themeColor="text1"/>
          <w:sz w:val="20"/>
          <w:szCs w:val="20"/>
        </w:rPr>
        <w:t>2019</w:t>
      </w:r>
      <w:r w:rsidRPr="001F1BE9">
        <w:rPr>
          <w:rFonts w:ascii="ＭＳ ゴシック" w:eastAsia="ＭＳ ゴシック" w:hAnsi="ＭＳ ゴシック" w:cs="Arial" w:hint="eastAsia"/>
          <w:color w:val="000000" w:themeColor="text1"/>
          <w:sz w:val="20"/>
          <w:szCs w:val="20"/>
        </w:rPr>
        <w:t>年度より</w:t>
      </w:r>
      <w:r w:rsidR="00492979" w:rsidRPr="001F1BE9">
        <w:rPr>
          <w:rFonts w:ascii="ＭＳ ゴシック" w:eastAsia="ＭＳ ゴシック" w:hAnsi="ＭＳ ゴシック" w:cs="Arial" w:hint="eastAsia"/>
          <w:color w:val="000000" w:themeColor="text1"/>
          <w:sz w:val="20"/>
          <w:szCs w:val="20"/>
        </w:rPr>
        <w:t>日</w:t>
      </w:r>
      <w:r w:rsidR="00492979" w:rsidRPr="001F1BE9">
        <w:rPr>
          <w:rFonts w:ascii="ＭＳ ゴシック" w:eastAsia="ＭＳ ゴシック" w:hAnsi="ＭＳ ゴシック" w:cs="Arial"/>
          <w:color w:val="000000" w:themeColor="text1"/>
          <w:sz w:val="20"/>
          <w:szCs w:val="20"/>
        </w:rPr>
        <w:t>本生命倫理学会</w:t>
      </w:r>
      <w:r w:rsidR="003A1DAC" w:rsidRPr="001F1BE9">
        <w:rPr>
          <w:rFonts w:ascii="ＭＳ ゴシック" w:eastAsia="ＭＳ ゴシック" w:hAnsi="ＭＳ ゴシック" w:cs="Arial" w:hint="eastAsia"/>
          <w:color w:val="000000" w:themeColor="text1"/>
          <w:sz w:val="20"/>
          <w:szCs w:val="20"/>
        </w:rPr>
        <w:t>（以下</w:t>
      </w:r>
      <w:r w:rsidR="003A1DAC" w:rsidRPr="001F1BE9">
        <w:rPr>
          <w:rFonts w:ascii="ＭＳ ゴシック" w:eastAsia="ＭＳ ゴシック" w:hAnsi="ＭＳ ゴシック" w:cs="Arial"/>
          <w:color w:val="000000" w:themeColor="text1"/>
          <w:sz w:val="20"/>
          <w:szCs w:val="20"/>
        </w:rPr>
        <w:t>JAB</w:t>
      </w:r>
      <w:r w:rsidR="003A1DAC" w:rsidRPr="001F1BE9">
        <w:rPr>
          <w:rFonts w:ascii="ＭＳ ゴシック" w:eastAsia="ＭＳ ゴシック" w:hAnsi="ＭＳ ゴシック" w:cs="Arial" w:hint="eastAsia"/>
          <w:color w:val="000000" w:themeColor="text1"/>
          <w:sz w:val="20"/>
          <w:szCs w:val="20"/>
        </w:rPr>
        <w:t>と</w:t>
      </w:r>
      <w:r w:rsidR="000D1300" w:rsidRPr="001F1BE9">
        <w:rPr>
          <w:rFonts w:ascii="ＭＳ ゴシック" w:eastAsia="ＭＳ ゴシック" w:hAnsi="ＭＳ ゴシック" w:cs="Arial" w:hint="eastAsia"/>
          <w:color w:val="000000" w:themeColor="text1"/>
          <w:sz w:val="20"/>
          <w:szCs w:val="20"/>
        </w:rPr>
        <w:t>表記する</w:t>
      </w:r>
      <w:r w:rsidR="003A1DAC" w:rsidRPr="001F1BE9">
        <w:rPr>
          <w:rFonts w:ascii="ＭＳ ゴシック" w:eastAsia="ＭＳ ゴシック" w:hAnsi="ＭＳ ゴシック" w:cs="Arial" w:hint="eastAsia"/>
          <w:color w:val="000000" w:themeColor="text1"/>
          <w:sz w:val="20"/>
          <w:szCs w:val="20"/>
        </w:rPr>
        <w:t>）</w:t>
      </w:r>
      <w:r w:rsidR="00492979" w:rsidRPr="001F1BE9">
        <w:rPr>
          <w:rFonts w:ascii="ＭＳ ゴシック" w:eastAsia="ＭＳ ゴシック" w:hAnsi="ＭＳ ゴシック" w:cs="Arial"/>
          <w:color w:val="000000" w:themeColor="text1"/>
          <w:sz w:val="20"/>
          <w:szCs w:val="20"/>
        </w:rPr>
        <w:t>は、</w:t>
      </w:r>
      <w:r w:rsidRPr="001F1BE9">
        <w:rPr>
          <w:rFonts w:ascii="ＭＳ ゴシック" w:eastAsia="ＭＳ ゴシック" w:hAnsi="ＭＳ ゴシック" w:cs="Arial"/>
          <w:color w:val="000000" w:themeColor="text1"/>
          <w:sz w:val="20"/>
          <w:szCs w:val="20"/>
        </w:rPr>
        <w:t>American Society for Bioethics and Humanities</w:t>
      </w:r>
      <w:r w:rsidRPr="001F1BE9">
        <w:rPr>
          <w:rFonts w:ascii="ＭＳ ゴシック" w:eastAsia="ＭＳ ゴシック" w:hAnsi="ＭＳ ゴシック" w:cs="Arial" w:hint="eastAsia"/>
          <w:color w:val="000000" w:themeColor="text1"/>
          <w:sz w:val="20"/>
          <w:szCs w:val="20"/>
        </w:rPr>
        <w:t>（以下A</w:t>
      </w:r>
      <w:r w:rsidRPr="001F1BE9">
        <w:rPr>
          <w:rFonts w:ascii="ＭＳ ゴシック" w:eastAsia="ＭＳ ゴシック" w:hAnsi="ＭＳ ゴシック" w:cs="Arial"/>
          <w:color w:val="000000" w:themeColor="text1"/>
          <w:sz w:val="20"/>
          <w:szCs w:val="20"/>
        </w:rPr>
        <w:t>SBH</w:t>
      </w:r>
      <w:r w:rsidRPr="001F1BE9">
        <w:rPr>
          <w:rFonts w:ascii="ＭＳ ゴシック" w:eastAsia="ＭＳ ゴシック" w:hAnsi="ＭＳ ゴシック" w:cs="Arial" w:hint="eastAsia"/>
          <w:color w:val="000000" w:themeColor="text1"/>
          <w:sz w:val="20"/>
          <w:szCs w:val="20"/>
        </w:rPr>
        <w:t>と略する）会員およびT</w:t>
      </w:r>
      <w:r w:rsidRPr="001F1BE9">
        <w:rPr>
          <w:rFonts w:ascii="ＭＳ ゴシック" w:eastAsia="ＭＳ ゴシック" w:hAnsi="ＭＳ ゴシック" w:cs="Arial"/>
          <w:color w:val="000000" w:themeColor="text1"/>
          <w:sz w:val="20"/>
          <w:szCs w:val="20"/>
        </w:rPr>
        <w:t>he International Association of Bioethics</w:t>
      </w:r>
      <w:r w:rsidRPr="001F1BE9">
        <w:rPr>
          <w:rFonts w:ascii="ＭＳ ゴシック" w:eastAsia="ＭＳ ゴシック" w:hAnsi="ＭＳ ゴシック" w:cs="Arial" w:hint="eastAsia"/>
          <w:color w:val="000000" w:themeColor="text1"/>
          <w:sz w:val="20"/>
          <w:szCs w:val="20"/>
        </w:rPr>
        <w:t>（以下</w:t>
      </w:r>
      <w:r w:rsidRPr="001F1BE9">
        <w:rPr>
          <w:rFonts w:ascii="ＭＳ ゴシック" w:eastAsia="ＭＳ ゴシック" w:hAnsi="ＭＳ ゴシック" w:cs="Arial"/>
          <w:color w:val="000000" w:themeColor="text1"/>
          <w:sz w:val="20"/>
          <w:szCs w:val="20"/>
        </w:rPr>
        <w:t>IAB</w:t>
      </w:r>
      <w:r w:rsidRPr="001F1BE9">
        <w:rPr>
          <w:rFonts w:ascii="ＭＳ ゴシック" w:eastAsia="ＭＳ ゴシック" w:hAnsi="ＭＳ ゴシック" w:cs="Arial" w:hint="eastAsia"/>
          <w:color w:val="000000" w:themeColor="text1"/>
          <w:sz w:val="20"/>
          <w:szCs w:val="20"/>
        </w:rPr>
        <w:t>と略する）</w:t>
      </w:r>
      <w:r w:rsidR="004423D1" w:rsidRPr="001F1BE9">
        <w:rPr>
          <w:rFonts w:ascii="ＭＳ ゴシック" w:eastAsia="ＭＳ ゴシック" w:hAnsi="ＭＳ ゴシック" w:cs="Arial" w:hint="eastAsia"/>
          <w:color w:val="000000" w:themeColor="text1"/>
          <w:sz w:val="20"/>
          <w:szCs w:val="20"/>
        </w:rPr>
        <w:t>会</w:t>
      </w:r>
      <w:r w:rsidR="004423D1" w:rsidRPr="001F1BE9">
        <w:rPr>
          <w:rFonts w:ascii="ＭＳ ゴシック" w:eastAsia="ＭＳ ゴシック" w:hAnsi="ＭＳ ゴシック" w:cs="Arial"/>
          <w:color w:val="000000" w:themeColor="text1"/>
          <w:sz w:val="20"/>
          <w:szCs w:val="20"/>
        </w:rPr>
        <w:t>員</w:t>
      </w:r>
      <w:r w:rsidRPr="001F1BE9">
        <w:rPr>
          <w:rFonts w:ascii="ＭＳ ゴシック" w:eastAsia="ＭＳ ゴシック" w:hAnsi="ＭＳ ゴシック" w:cs="Arial" w:hint="eastAsia"/>
          <w:color w:val="000000" w:themeColor="text1"/>
          <w:sz w:val="20"/>
          <w:szCs w:val="20"/>
        </w:rPr>
        <w:t>を対象とするフェローシップ・ファンドを開始しました。</w:t>
      </w:r>
      <w:r w:rsidR="007D4775" w:rsidRPr="001F1BE9">
        <w:rPr>
          <w:rFonts w:ascii="ＭＳ ゴシック" w:eastAsia="ＭＳ ゴシック" w:hAnsi="ＭＳ ゴシック" w:cs="Arial" w:hint="eastAsia"/>
          <w:color w:val="000000" w:themeColor="text1"/>
          <w:sz w:val="20"/>
          <w:szCs w:val="20"/>
        </w:rPr>
        <w:t>コロナウィルス・パンデミックの中、本</w:t>
      </w:r>
      <w:r w:rsidR="00543F44" w:rsidRPr="001F1BE9">
        <w:rPr>
          <w:rFonts w:ascii="ＭＳ ゴシック" w:eastAsia="ＭＳ ゴシック" w:hAnsi="ＭＳ ゴシック" w:cs="Arial" w:hint="eastAsia"/>
          <w:color w:val="000000" w:themeColor="text1"/>
          <w:sz w:val="20"/>
          <w:szCs w:val="20"/>
        </w:rPr>
        <w:t>年度は、</w:t>
      </w:r>
      <w:r w:rsidRPr="001F1BE9">
        <w:rPr>
          <w:rFonts w:ascii="ＭＳ ゴシック" w:eastAsia="ＭＳ ゴシック" w:hAnsi="ＭＳ ゴシック" w:cs="Arial" w:hint="eastAsia"/>
          <w:color w:val="000000" w:themeColor="text1"/>
          <w:sz w:val="20"/>
          <w:szCs w:val="20"/>
        </w:rPr>
        <w:t>A</w:t>
      </w:r>
      <w:r w:rsidRPr="001F1BE9">
        <w:rPr>
          <w:rFonts w:ascii="ＭＳ ゴシック" w:eastAsia="ＭＳ ゴシック" w:hAnsi="ＭＳ ゴシック" w:cs="Arial"/>
          <w:color w:val="000000" w:themeColor="text1"/>
          <w:sz w:val="20"/>
          <w:szCs w:val="20"/>
        </w:rPr>
        <w:t>SBH</w:t>
      </w:r>
      <w:r w:rsidRPr="001F1BE9">
        <w:rPr>
          <w:rFonts w:ascii="ＭＳ ゴシック" w:eastAsia="ＭＳ ゴシック" w:hAnsi="ＭＳ ゴシック" w:cs="Arial" w:hint="eastAsia"/>
          <w:color w:val="000000" w:themeColor="text1"/>
          <w:sz w:val="20"/>
          <w:szCs w:val="20"/>
        </w:rPr>
        <w:t>からは</w:t>
      </w:r>
      <w:r w:rsidR="00633350" w:rsidRPr="001F1BE9">
        <w:rPr>
          <w:rFonts w:ascii="ＭＳ ゴシック" w:eastAsia="ＭＳ ゴシック" w:hAnsi="ＭＳ ゴシック" w:cs="Arial"/>
          <w:color w:val="000000" w:themeColor="text1"/>
          <w:sz w:val="20"/>
          <w:szCs w:val="20"/>
        </w:rPr>
        <w:t>7</w:t>
      </w:r>
      <w:r w:rsidRPr="001F1BE9">
        <w:rPr>
          <w:rFonts w:ascii="ＭＳ ゴシック" w:eastAsia="ＭＳ ゴシック" w:hAnsi="ＭＳ ゴシック" w:cs="Arial" w:hint="eastAsia"/>
          <w:color w:val="000000" w:themeColor="text1"/>
          <w:sz w:val="20"/>
          <w:szCs w:val="20"/>
        </w:rPr>
        <w:t>申請、</w:t>
      </w:r>
      <w:r w:rsidRPr="001F1BE9">
        <w:rPr>
          <w:rFonts w:ascii="ＭＳ ゴシック" w:eastAsia="ＭＳ ゴシック" w:hAnsi="ＭＳ ゴシック" w:cs="Arial"/>
          <w:color w:val="000000" w:themeColor="text1"/>
          <w:sz w:val="20"/>
          <w:szCs w:val="20"/>
        </w:rPr>
        <w:t>IAB</w:t>
      </w:r>
      <w:r w:rsidRPr="001F1BE9">
        <w:rPr>
          <w:rFonts w:ascii="ＭＳ ゴシック" w:eastAsia="ＭＳ ゴシック" w:hAnsi="ＭＳ ゴシック" w:cs="Arial" w:hint="eastAsia"/>
          <w:color w:val="000000" w:themeColor="text1"/>
          <w:sz w:val="20"/>
          <w:szCs w:val="20"/>
        </w:rPr>
        <w:t>か</w:t>
      </w:r>
      <w:r w:rsidR="00633350" w:rsidRPr="001F1BE9">
        <w:rPr>
          <w:rFonts w:ascii="ＭＳ ゴシック" w:eastAsia="ＭＳ ゴシック" w:hAnsi="ＭＳ ゴシック" w:cs="Arial" w:hint="eastAsia"/>
          <w:color w:val="000000" w:themeColor="text1"/>
          <w:sz w:val="20"/>
          <w:szCs w:val="20"/>
        </w:rPr>
        <w:t>らは</w:t>
      </w:r>
      <w:r w:rsidR="00633350" w:rsidRPr="001F1BE9">
        <w:rPr>
          <w:rFonts w:ascii="ＭＳ ゴシック" w:eastAsia="ＭＳ ゴシック" w:hAnsi="ＭＳ ゴシック" w:cs="Arial"/>
          <w:color w:val="000000" w:themeColor="text1"/>
          <w:sz w:val="20"/>
          <w:szCs w:val="20"/>
        </w:rPr>
        <w:t>4</w:t>
      </w:r>
      <w:r w:rsidRPr="001F1BE9">
        <w:rPr>
          <w:rFonts w:ascii="ＭＳ ゴシック" w:eastAsia="ＭＳ ゴシック" w:hAnsi="ＭＳ ゴシック" w:cs="Arial" w:hint="eastAsia"/>
          <w:color w:val="000000" w:themeColor="text1"/>
          <w:sz w:val="20"/>
          <w:szCs w:val="20"/>
        </w:rPr>
        <w:t>申請があり、その中から</w:t>
      </w:r>
      <w:r w:rsidRPr="001F1BE9">
        <w:rPr>
          <w:rFonts w:ascii="ＭＳ ゴシック" w:eastAsia="ＭＳ ゴシック" w:hAnsi="ＭＳ ゴシック" w:cs="Arial"/>
          <w:color w:val="000000" w:themeColor="text1"/>
          <w:sz w:val="20"/>
          <w:szCs w:val="20"/>
        </w:rPr>
        <w:t>JAB</w:t>
      </w:r>
      <w:r w:rsidRPr="001F1BE9">
        <w:rPr>
          <w:rFonts w:ascii="ＭＳ ゴシック" w:eastAsia="ＭＳ ゴシック" w:hAnsi="ＭＳ ゴシック" w:cs="Arial" w:hint="eastAsia"/>
          <w:color w:val="000000" w:themeColor="text1"/>
          <w:sz w:val="20"/>
          <w:szCs w:val="20"/>
        </w:rPr>
        <w:t>第</w:t>
      </w:r>
      <w:r w:rsidRPr="001F1BE9">
        <w:rPr>
          <w:rFonts w:ascii="ＭＳ ゴシック" w:eastAsia="ＭＳ ゴシック" w:hAnsi="ＭＳ ゴシック" w:cs="Arial"/>
          <w:color w:val="000000" w:themeColor="text1"/>
          <w:sz w:val="20"/>
          <w:szCs w:val="20"/>
        </w:rPr>
        <w:t>3</w:t>
      </w:r>
      <w:r w:rsidR="00633350" w:rsidRPr="001F1BE9">
        <w:rPr>
          <w:rFonts w:ascii="ＭＳ ゴシック" w:eastAsia="ＭＳ ゴシック" w:hAnsi="ＭＳ ゴシック" w:cs="Arial"/>
          <w:color w:val="000000" w:themeColor="text1"/>
          <w:sz w:val="20"/>
          <w:szCs w:val="20"/>
        </w:rPr>
        <w:t>4</w:t>
      </w:r>
      <w:r w:rsidRPr="001F1BE9">
        <w:rPr>
          <w:rFonts w:ascii="ＭＳ ゴシック" w:eastAsia="ＭＳ ゴシック" w:hAnsi="ＭＳ ゴシック" w:cs="Arial" w:hint="eastAsia"/>
          <w:color w:val="000000" w:themeColor="text1"/>
          <w:sz w:val="20"/>
          <w:szCs w:val="20"/>
        </w:rPr>
        <w:t>回年次大会（</w:t>
      </w:r>
      <w:r w:rsidR="00FD4248">
        <w:rPr>
          <w:rFonts w:ascii="ＭＳ ゴシック" w:eastAsia="ＭＳ ゴシック" w:hAnsi="ＭＳ ゴシック" w:cs="Arial" w:hint="eastAsia"/>
          <w:color w:val="000000" w:themeColor="text1"/>
          <w:sz w:val="20"/>
          <w:szCs w:val="20"/>
        </w:rPr>
        <w:t>関西学院</w:t>
      </w:r>
      <w:r w:rsidR="007D4775" w:rsidRPr="001F1BE9">
        <w:rPr>
          <w:rFonts w:ascii="ＭＳ ゴシック" w:eastAsia="ＭＳ ゴシック" w:hAnsi="ＭＳ ゴシック" w:cs="Arial" w:hint="eastAsia"/>
          <w:color w:val="000000" w:themeColor="text1"/>
          <w:sz w:val="20"/>
          <w:szCs w:val="20"/>
        </w:rPr>
        <w:t>大学</w:t>
      </w:r>
      <w:r w:rsidRPr="001F1BE9">
        <w:rPr>
          <w:rFonts w:ascii="ＭＳ ゴシック" w:eastAsia="ＭＳ ゴシック" w:hAnsi="ＭＳ ゴシック" w:cs="Arial" w:hint="eastAsia"/>
          <w:color w:val="000000" w:themeColor="text1"/>
          <w:sz w:val="20"/>
          <w:szCs w:val="20"/>
        </w:rPr>
        <w:t>）における国際交流委員会枠国際セッションの発表者として、</w:t>
      </w:r>
      <w:r w:rsidR="0000469D" w:rsidRPr="001F1BE9">
        <w:rPr>
          <w:rFonts w:ascii="ＭＳ ゴシック" w:eastAsia="ＭＳ ゴシック" w:hAnsi="ＭＳ ゴシック" w:cs="Arial" w:hint="eastAsia"/>
          <w:color w:val="000000" w:themeColor="text1"/>
          <w:sz w:val="20"/>
          <w:szCs w:val="20"/>
        </w:rPr>
        <w:t>将来性のある優れた若手海外研究者を、</w:t>
      </w:r>
      <w:r w:rsidRPr="001F1BE9">
        <w:rPr>
          <w:rFonts w:ascii="ＭＳ ゴシック" w:eastAsia="ＭＳ ゴシック" w:hAnsi="ＭＳ ゴシック" w:cs="Arial" w:hint="eastAsia"/>
          <w:color w:val="000000" w:themeColor="text1"/>
          <w:sz w:val="20"/>
          <w:szCs w:val="20"/>
        </w:rPr>
        <w:t>それぞれ</w:t>
      </w:r>
      <w:r w:rsidRPr="001F1BE9">
        <w:rPr>
          <w:rFonts w:ascii="ＭＳ ゴシック" w:eastAsia="ＭＳ ゴシック" w:hAnsi="ＭＳ ゴシック" w:cs="Arial"/>
          <w:color w:val="000000" w:themeColor="text1"/>
          <w:sz w:val="20"/>
          <w:szCs w:val="20"/>
        </w:rPr>
        <w:t>1</w:t>
      </w:r>
      <w:r w:rsidRPr="001F1BE9">
        <w:rPr>
          <w:rFonts w:ascii="ＭＳ ゴシック" w:eastAsia="ＭＳ ゴシック" w:hAnsi="ＭＳ ゴシック" w:cs="Arial" w:hint="eastAsia"/>
          <w:color w:val="000000" w:themeColor="text1"/>
          <w:sz w:val="20"/>
          <w:szCs w:val="20"/>
        </w:rPr>
        <w:t>名選出しました。</w:t>
      </w:r>
      <w:r w:rsidR="00543F44" w:rsidRPr="001F1BE9">
        <w:rPr>
          <w:rFonts w:ascii="ＭＳ ゴシック" w:eastAsia="ＭＳ ゴシック" w:hAnsi="ＭＳ ゴシック" w:cs="Arial" w:hint="eastAsia"/>
          <w:color w:val="000000" w:themeColor="text1"/>
          <w:sz w:val="20"/>
          <w:szCs w:val="20"/>
        </w:rPr>
        <w:t>本応募</w:t>
      </w:r>
      <w:r w:rsidR="0000469D" w:rsidRPr="001F1BE9">
        <w:rPr>
          <w:rFonts w:ascii="ＭＳ ゴシック" w:eastAsia="ＭＳ ゴシック" w:hAnsi="ＭＳ ゴシック" w:cs="Arial" w:hint="eastAsia"/>
          <w:color w:val="000000" w:themeColor="text1"/>
          <w:sz w:val="20"/>
          <w:szCs w:val="20"/>
        </w:rPr>
        <w:t>は、これらの若手海外研究者と同じ</w:t>
      </w:r>
      <w:r w:rsidR="00543F44" w:rsidRPr="001F1BE9">
        <w:rPr>
          <w:rFonts w:ascii="ＭＳ ゴシック" w:eastAsia="ＭＳ ゴシック" w:hAnsi="ＭＳ ゴシック" w:cs="Arial" w:hint="eastAsia"/>
          <w:color w:val="000000" w:themeColor="text1"/>
          <w:sz w:val="20"/>
          <w:szCs w:val="20"/>
        </w:rPr>
        <w:t>国際</w:t>
      </w:r>
      <w:r w:rsidR="0000469D" w:rsidRPr="001F1BE9">
        <w:rPr>
          <w:rFonts w:ascii="ＭＳ ゴシック" w:eastAsia="ＭＳ ゴシック" w:hAnsi="ＭＳ ゴシック" w:cs="Arial" w:hint="eastAsia"/>
          <w:color w:val="000000" w:themeColor="text1"/>
          <w:sz w:val="20"/>
          <w:szCs w:val="20"/>
        </w:rPr>
        <w:t>セッションで発表できるJAB会員を募集するものです。</w:t>
      </w:r>
    </w:p>
    <w:p w14:paraId="04644F12" w14:textId="77777777" w:rsidR="0061079E" w:rsidRPr="001F1BE9" w:rsidRDefault="0061079E" w:rsidP="00812EC0">
      <w:pPr>
        <w:rPr>
          <w:rFonts w:ascii="ＭＳ ゴシック" w:eastAsia="ＭＳ ゴシック" w:hAnsi="ＭＳ ゴシック" w:cs="Arial"/>
          <w:color w:val="000000" w:themeColor="text1"/>
          <w:sz w:val="21"/>
          <w:szCs w:val="21"/>
        </w:rPr>
      </w:pPr>
    </w:p>
    <w:p w14:paraId="173A1B1E" w14:textId="58CE0329" w:rsidR="0061079E" w:rsidRPr="001F1BE9" w:rsidRDefault="0020134C" w:rsidP="0061079E">
      <w:pPr>
        <w:pStyle w:val="a3"/>
        <w:widowControl/>
        <w:numPr>
          <w:ilvl w:val="0"/>
          <w:numId w:val="1"/>
        </w:numPr>
        <w:ind w:leftChars="0"/>
        <w:rPr>
          <w:rFonts w:ascii="ＭＳ ゴシック" w:eastAsia="ＭＳ ゴシック" w:hAnsi="ＭＳ ゴシック" w:cs="Arial"/>
          <w:b/>
          <w:color w:val="000000" w:themeColor="text1"/>
          <w:kern w:val="0"/>
          <w:sz w:val="21"/>
          <w:szCs w:val="21"/>
        </w:rPr>
      </w:pPr>
      <w:r w:rsidRPr="001F1BE9">
        <w:rPr>
          <w:rFonts w:ascii="ＭＳ ゴシック" w:eastAsia="ＭＳ ゴシック" w:hAnsi="ＭＳ ゴシック" w:cs="Arial" w:hint="eastAsia"/>
          <w:b/>
          <w:color w:val="000000" w:themeColor="text1"/>
          <w:kern w:val="0"/>
          <w:sz w:val="21"/>
          <w:szCs w:val="21"/>
        </w:rPr>
        <w:t>条件・選考方針・募集</w:t>
      </w:r>
      <w:proofErr w:type="gramStart"/>
      <w:r w:rsidRPr="001F1BE9">
        <w:rPr>
          <w:rFonts w:ascii="ＭＳ ゴシック" w:eastAsia="ＭＳ ゴシック" w:hAnsi="ＭＳ ゴシック" w:cs="Arial" w:hint="eastAsia"/>
          <w:b/>
          <w:color w:val="000000" w:themeColor="text1"/>
          <w:kern w:val="0"/>
          <w:sz w:val="21"/>
          <w:szCs w:val="21"/>
        </w:rPr>
        <w:t>締切</w:t>
      </w:r>
      <w:proofErr w:type="gramEnd"/>
    </w:p>
    <w:p w14:paraId="5055FB9F" w14:textId="77777777" w:rsidR="0020134C" w:rsidRPr="001F1BE9" w:rsidRDefault="0020134C" w:rsidP="00CD13BF">
      <w:pPr>
        <w:pStyle w:val="a3"/>
        <w:numPr>
          <w:ilvl w:val="0"/>
          <w:numId w:val="5"/>
        </w:numPr>
        <w:ind w:leftChars="0" w:left="227" w:hanging="227"/>
        <w:rPr>
          <w:rFonts w:ascii="ＭＳ ゴシック" w:eastAsia="ＭＳ ゴシック" w:hAnsi="ＭＳ ゴシック" w:cs="Arial"/>
          <w:b/>
          <w:bCs/>
          <w:color w:val="000000" w:themeColor="text1"/>
          <w:sz w:val="20"/>
          <w:szCs w:val="20"/>
        </w:rPr>
      </w:pPr>
      <w:r w:rsidRPr="001F1BE9">
        <w:rPr>
          <w:rFonts w:ascii="ＭＳ ゴシック" w:eastAsia="ＭＳ ゴシック" w:hAnsi="ＭＳ ゴシック" w:cs="Arial" w:hint="eastAsia"/>
          <w:b/>
          <w:bCs/>
          <w:color w:val="000000" w:themeColor="text1"/>
          <w:sz w:val="20"/>
          <w:szCs w:val="20"/>
        </w:rPr>
        <w:t>条件：</w:t>
      </w:r>
      <w:r w:rsidRPr="001F1BE9">
        <w:rPr>
          <w:rFonts w:ascii="ＭＳ ゴシック" w:eastAsia="ＭＳ ゴシック" w:hAnsi="ＭＳ ゴシック" w:cs="Arial"/>
          <w:b/>
          <w:bCs/>
          <w:color w:val="000000" w:themeColor="text1"/>
          <w:sz w:val="20"/>
          <w:szCs w:val="20"/>
        </w:rPr>
        <w:t xml:space="preserve"> </w:t>
      </w:r>
    </w:p>
    <w:p w14:paraId="27AA4831" w14:textId="77777777" w:rsidR="00F01C6F" w:rsidRPr="001F1BE9" w:rsidRDefault="00F01C6F" w:rsidP="006955EE">
      <w:pPr>
        <w:pStyle w:val="a3"/>
        <w:numPr>
          <w:ilvl w:val="0"/>
          <w:numId w:val="16"/>
        </w:numPr>
        <w:ind w:leftChars="0"/>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color w:val="000000" w:themeColor="text1"/>
          <w:sz w:val="20"/>
          <w:szCs w:val="20"/>
        </w:rPr>
        <w:t>JAB</w:t>
      </w:r>
      <w:r w:rsidRPr="001F1BE9">
        <w:rPr>
          <w:rFonts w:ascii="ＭＳ ゴシック" w:eastAsia="ＭＳ ゴシック" w:hAnsi="ＭＳ ゴシック" w:cs="Arial" w:hint="eastAsia"/>
          <w:color w:val="000000" w:themeColor="text1"/>
          <w:sz w:val="20"/>
          <w:szCs w:val="20"/>
        </w:rPr>
        <w:t>会員であること。</w:t>
      </w:r>
    </w:p>
    <w:p w14:paraId="4CC0BC09" w14:textId="2BE913D3" w:rsidR="006955EE" w:rsidRPr="001F1BE9" w:rsidRDefault="0020134C" w:rsidP="006955EE">
      <w:pPr>
        <w:pStyle w:val="a3"/>
        <w:numPr>
          <w:ilvl w:val="0"/>
          <w:numId w:val="16"/>
        </w:numPr>
        <w:ind w:leftChars="0"/>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color w:val="000000" w:themeColor="text1"/>
          <w:sz w:val="20"/>
          <w:szCs w:val="20"/>
        </w:rPr>
        <w:t>英語で発表</w:t>
      </w:r>
      <w:r w:rsidR="006955EE" w:rsidRPr="001F1BE9">
        <w:rPr>
          <w:rFonts w:ascii="ＭＳ ゴシック" w:eastAsia="ＭＳ ゴシック" w:hAnsi="ＭＳ ゴシック" w:cs="Arial" w:hint="eastAsia"/>
          <w:color w:val="000000" w:themeColor="text1"/>
          <w:sz w:val="20"/>
          <w:szCs w:val="20"/>
        </w:rPr>
        <w:t>し、英語で質疑応答すること。</w:t>
      </w:r>
    </w:p>
    <w:p w14:paraId="0E89120B" w14:textId="02E05301" w:rsidR="006955EE" w:rsidRPr="001F1BE9" w:rsidRDefault="006955EE" w:rsidP="006955EE">
      <w:pPr>
        <w:pStyle w:val="a3"/>
        <w:numPr>
          <w:ilvl w:val="0"/>
          <w:numId w:val="16"/>
        </w:numPr>
        <w:ind w:leftChars="0"/>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color w:val="000000" w:themeColor="text1"/>
          <w:sz w:val="20"/>
          <w:szCs w:val="20"/>
        </w:rPr>
        <w:t>質疑応答を含めて約</w:t>
      </w:r>
      <w:r w:rsidRPr="001F1BE9">
        <w:rPr>
          <w:rFonts w:ascii="ＭＳ ゴシック" w:eastAsia="ＭＳ ゴシック" w:hAnsi="ＭＳ ゴシック" w:cs="Arial"/>
          <w:color w:val="000000" w:themeColor="text1"/>
          <w:sz w:val="20"/>
          <w:szCs w:val="20"/>
        </w:rPr>
        <w:t>30</w:t>
      </w:r>
      <w:r w:rsidRPr="001F1BE9">
        <w:rPr>
          <w:rFonts w:ascii="ＭＳ ゴシック" w:eastAsia="ＭＳ ゴシック" w:hAnsi="ＭＳ ゴシック" w:cs="Arial" w:hint="eastAsia"/>
          <w:color w:val="000000" w:themeColor="text1"/>
          <w:sz w:val="20"/>
          <w:szCs w:val="20"/>
        </w:rPr>
        <w:t>分の発表ができること。</w:t>
      </w:r>
    </w:p>
    <w:p w14:paraId="2B2EFC81" w14:textId="37F8FDB8" w:rsidR="00C226F5" w:rsidRPr="001F1BE9" w:rsidRDefault="00C51A82">
      <w:pPr>
        <w:pStyle w:val="a3"/>
        <w:numPr>
          <w:ilvl w:val="0"/>
          <w:numId w:val="16"/>
        </w:numPr>
        <w:ind w:leftChars="0"/>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color w:val="000000" w:themeColor="text1"/>
          <w:sz w:val="20"/>
          <w:szCs w:val="20"/>
        </w:rPr>
        <w:t>国際交流委員会による</w:t>
      </w:r>
      <w:r w:rsidR="0000469D" w:rsidRPr="001F1BE9">
        <w:rPr>
          <w:rFonts w:ascii="ＭＳ ゴシック" w:eastAsia="ＭＳ ゴシック" w:hAnsi="ＭＳ ゴシック" w:cs="Arial" w:hint="eastAsia"/>
          <w:color w:val="000000" w:themeColor="text1"/>
          <w:sz w:val="20"/>
          <w:szCs w:val="20"/>
        </w:rPr>
        <w:t>今年度の国際セッションのテーマである「</w:t>
      </w:r>
      <w:r w:rsidR="00633350" w:rsidRPr="001F1BE9">
        <w:rPr>
          <w:rFonts w:ascii="ＭＳ ゴシック" w:eastAsia="ＭＳ ゴシック" w:hAnsi="ＭＳ ゴシック" w:cs="Arial" w:hint="eastAsia"/>
          <w:color w:val="000000" w:themeColor="text1"/>
          <w:sz w:val="20"/>
          <w:szCs w:val="20"/>
        </w:rPr>
        <w:t>A</w:t>
      </w:r>
      <w:r w:rsidR="00633350" w:rsidRPr="001F1BE9">
        <w:rPr>
          <w:rFonts w:ascii="ＭＳ ゴシック" w:eastAsia="ＭＳ ゴシック" w:hAnsi="ＭＳ ゴシック" w:cs="Arial"/>
          <w:color w:val="000000" w:themeColor="text1"/>
          <w:sz w:val="20"/>
          <w:szCs w:val="20"/>
        </w:rPr>
        <w:t>utonomy and Vulnerability in End-of-life Care</w:t>
      </w:r>
      <w:r w:rsidR="0000469D" w:rsidRPr="001F1BE9">
        <w:rPr>
          <w:rFonts w:ascii="ＭＳ ゴシック" w:eastAsia="ＭＳ ゴシック" w:hAnsi="ＭＳ ゴシック" w:cs="Arial" w:hint="eastAsia"/>
          <w:color w:val="000000" w:themeColor="text1"/>
          <w:sz w:val="20"/>
          <w:szCs w:val="20"/>
        </w:rPr>
        <w:t>」に適した内容で、研究発表をすることができる方。または、海外研究者の研究発表の両方または一方にたいするコメント(同じ主題に関する国内の状況の紹介や比較などを含む)のような形式の発表であってもよいものと</w:t>
      </w:r>
      <w:r w:rsidRPr="001F1BE9">
        <w:rPr>
          <w:rFonts w:ascii="ＭＳ ゴシック" w:eastAsia="ＭＳ ゴシック" w:hAnsi="ＭＳ ゴシック" w:cs="Arial" w:hint="eastAsia"/>
          <w:color w:val="000000" w:themeColor="text1"/>
          <w:sz w:val="20"/>
          <w:szCs w:val="20"/>
        </w:rPr>
        <w:t>します</w:t>
      </w:r>
      <w:r w:rsidR="0000469D" w:rsidRPr="001F1BE9">
        <w:rPr>
          <w:rFonts w:ascii="ＭＳ ゴシック" w:eastAsia="ＭＳ ゴシック" w:hAnsi="ＭＳ ゴシック" w:cs="Arial" w:hint="eastAsia"/>
          <w:color w:val="000000" w:themeColor="text1"/>
          <w:sz w:val="20"/>
          <w:szCs w:val="20"/>
        </w:rPr>
        <w:t>。</w:t>
      </w:r>
      <w:r w:rsidRPr="001F1BE9">
        <w:rPr>
          <w:rFonts w:ascii="ＭＳ ゴシック" w:eastAsia="ＭＳ ゴシック" w:hAnsi="ＭＳ ゴシック" w:cs="Arial" w:hint="eastAsia"/>
          <w:color w:val="000000" w:themeColor="text1"/>
          <w:sz w:val="20"/>
          <w:szCs w:val="20"/>
        </w:rPr>
        <w:t>なお</w:t>
      </w:r>
      <w:r w:rsidR="0000469D" w:rsidRPr="001F1BE9">
        <w:rPr>
          <w:rFonts w:ascii="ＭＳ ゴシック" w:eastAsia="ＭＳ ゴシック" w:hAnsi="ＭＳ ゴシック" w:cs="Arial" w:hint="eastAsia"/>
          <w:color w:val="000000" w:themeColor="text1"/>
          <w:sz w:val="20"/>
          <w:szCs w:val="20"/>
        </w:rPr>
        <w:t>、海外研究者の発表の主題は</w:t>
      </w:r>
      <w:r w:rsidR="00E0744A" w:rsidRPr="001F1BE9">
        <w:rPr>
          <w:rFonts w:ascii="ＭＳ ゴシック" w:eastAsia="ＭＳ ゴシック" w:hAnsi="ＭＳ ゴシック" w:cs="Arial"/>
          <w:color w:val="000000" w:themeColor="text1"/>
          <w:sz w:val="20"/>
          <w:szCs w:val="20"/>
        </w:rPr>
        <w:t>“</w:t>
      </w:r>
      <w:r w:rsidR="00633350" w:rsidRPr="001F1BE9">
        <w:rPr>
          <w:rFonts w:ascii="ＭＳ ゴシック" w:eastAsia="ＭＳ ゴシック" w:hAnsi="ＭＳ ゴシック" w:cs="Times New Roman"/>
          <w:color w:val="000000"/>
          <w:kern w:val="0"/>
          <w:sz w:val="20"/>
          <w:szCs w:val="20"/>
        </w:rPr>
        <w:t>Weighed, Measured, and Found Wanting? The Use of Quality of Dying and Death Instruments in Health Research, Policy and Practice</w:t>
      </w:r>
      <w:r w:rsidR="00E0744A" w:rsidRPr="001F1BE9">
        <w:rPr>
          <w:rFonts w:ascii="ＭＳ ゴシック" w:eastAsia="ＭＳ ゴシック" w:hAnsi="ＭＳ ゴシック" w:cs="Arial"/>
          <w:color w:val="000000" w:themeColor="text1"/>
          <w:sz w:val="20"/>
          <w:szCs w:val="20"/>
        </w:rPr>
        <w:t>”</w:t>
      </w:r>
      <w:r w:rsidR="0000469D" w:rsidRPr="001F1BE9">
        <w:rPr>
          <w:rFonts w:ascii="ＭＳ ゴシック" w:eastAsia="ＭＳ ゴシック" w:hAnsi="ＭＳ ゴシック" w:cs="Arial" w:hint="eastAsia"/>
          <w:color w:val="000000" w:themeColor="text1"/>
          <w:sz w:val="20"/>
          <w:szCs w:val="20"/>
        </w:rPr>
        <w:t>と</w:t>
      </w:r>
      <w:r w:rsidR="00E0744A" w:rsidRPr="001F1BE9">
        <w:rPr>
          <w:rFonts w:ascii="ＭＳ ゴシック" w:eastAsia="ＭＳ ゴシック" w:hAnsi="ＭＳ ゴシック" w:cs="Arial"/>
          <w:color w:val="000000" w:themeColor="text1"/>
          <w:sz w:val="20"/>
          <w:szCs w:val="20"/>
        </w:rPr>
        <w:t>“</w:t>
      </w:r>
      <w:r w:rsidR="00633350" w:rsidRPr="001F1BE9">
        <w:rPr>
          <w:rFonts w:ascii="ＭＳ ゴシック" w:eastAsia="ＭＳ ゴシック" w:hAnsi="ＭＳ ゴシック" w:cs="Times New Roman"/>
          <w:color w:val="000000"/>
          <w:kern w:val="0"/>
          <w:sz w:val="20"/>
          <w:szCs w:val="20"/>
        </w:rPr>
        <w:t>Advance care planning in mental healthcare: Systematic reviews of the contents and service users’ attitudes towards psychiatric advance directives</w:t>
      </w:r>
      <w:r w:rsidR="00E0744A" w:rsidRPr="001F1BE9">
        <w:rPr>
          <w:rFonts w:ascii="ＭＳ ゴシック" w:eastAsia="ＭＳ ゴシック" w:hAnsi="ＭＳ ゴシック" w:cs="Arial"/>
          <w:color w:val="000000" w:themeColor="text1"/>
          <w:sz w:val="20"/>
          <w:szCs w:val="20"/>
        </w:rPr>
        <w:t>”</w:t>
      </w:r>
      <w:r w:rsidR="00C458F0" w:rsidRPr="001F1BE9">
        <w:rPr>
          <w:rFonts w:ascii="ＭＳ ゴシック" w:eastAsia="ＭＳ ゴシック" w:hAnsi="ＭＳ ゴシック" w:cs="Arial" w:hint="eastAsia"/>
          <w:color w:val="000000" w:themeColor="text1"/>
          <w:sz w:val="20"/>
          <w:szCs w:val="20"/>
        </w:rPr>
        <w:t>です。それぞれの発表のアブストラクトは以下に示します。</w:t>
      </w:r>
    </w:p>
    <w:p w14:paraId="662A5827" w14:textId="77777777" w:rsidR="003818F9" w:rsidRPr="001F1BE9" w:rsidRDefault="003818F9">
      <w:pPr>
        <w:pStyle w:val="a3"/>
        <w:numPr>
          <w:ilvl w:val="0"/>
          <w:numId w:val="16"/>
        </w:numPr>
        <w:ind w:leftChars="0"/>
        <w:rPr>
          <w:rFonts w:ascii="ＭＳ ゴシック" w:eastAsia="ＭＳ ゴシック" w:hAnsi="ＭＳ ゴシック" w:cs="Arial"/>
          <w:color w:val="000000" w:themeColor="text1"/>
          <w:sz w:val="20"/>
          <w:szCs w:val="20"/>
        </w:rPr>
      </w:pPr>
    </w:p>
    <w:p w14:paraId="4E6289EF" w14:textId="77777777" w:rsidR="00315E2E" w:rsidRPr="001F1BE9" w:rsidRDefault="00F01C6F" w:rsidP="00CD13BF">
      <w:pPr>
        <w:pStyle w:val="a3"/>
        <w:numPr>
          <w:ilvl w:val="0"/>
          <w:numId w:val="5"/>
        </w:numPr>
        <w:ind w:leftChars="0" w:left="227" w:hanging="227"/>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b/>
          <w:bCs/>
          <w:color w:val="000000" w:themeColor="text1"/>
          <w:sz w:val="20"/>
          <w:szCs w:val="20"/>
        </w:rPr>
        <w:t>選考方針</w:t>
      </w:r>
      <w:r w:rsidR="00CD13BF" w:rsidRPr="001F1BE9">
        <w:rPr>
          <w:rFonts w:ascii="ＭＳ ゴシック" w:eastAsia="ＭＳ ゴシック" w:hAnsi="ＭＳ ゴシック" w:cs="Arial" w:hint="eastAsia"/>
          <w:color w:val="000000" w:themeColor="text1"/>
          <w:sz w:val="20"/>
          <w:szCs w:val="20"/>
        </w:rPr>
        <w:t>：</w:t>
      </w:r>
      <w:r w:rsidR="00CD13BF" w:rsidRPr="001F1BE9">
        <w:rPr>
          <w:rFonts w:ascii="ＭＳ ゴシック" w:eastAsia="ＭＳ ゴシック" w:hAnsi="ＭＳ ゴシック" w:cs="Arial"/>
          <w:color w:val="000000" w:themeColor="text1"/>
          <w:sz w:val="20"/>
          <w:szCs w:val="20"/>
        </w:rPr>
        <w:t xml:space="preserve"> </w:t>
      </w:r>
    </w:p>
    <w:p w14:paraId="4499B9F4" w14:textId="0184C7FC" w:rsidR="00CD13BF" w:rsidRPr="001F1BE9" w:rsidRDefault="00C07ED4" w:rsidP="00315E2E">
      <w:pPr>
        <w:pStyle w:val="a3"/>
        <w:ind w:leftChars="0" w:left="227"/>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color w:val="000000" w:themeColor="text1"/>
          <w:sz w:val="20"/>
          <w:szCs w:val="20"/>
        </w:rPr>
        <w:t>申込者</w:t>
      </w:r>
      <w:r w:rsidR="0043748F" w:rsidRPr="001F1BE9">
        <w:rPr>
          <w:rFonts w:ascii="ＭＳ ゴシック" w:eastAsia="ＭＳ ゴシック" w:hAnsi="ＭＳ ゴシック" w:cs="Arial" w:hint="eastAsia"/>
          <w:color w:val="000000" w:themeColor="text1"/>
          <w:sz w:val="20"/>
          <w:szCs w:val="20"/>
        </w:rPr>
        <w:t>とその発表内容（アブストラクト）が諸</w:t>
      </w:r>
      <w:r w:rsidR="0073333B" w:rsidRPr="001F1BE9">
        <w:rPr>
          <w:rFonts w:ascii="ＭＳ ゴシック" w:eastAsia="ＭＳ ゴシック" w:hAnsi="ＭＳ ゴシック" w:cs="Arial" w:hint="eastAsia"/>
          <w:color w:val="000000" w:themeColor="text1"/>
          <w:sz w:val="20"/>
          <w:szCs w:val="20"/>
        </w:rPr>
        <w:t>条件</w:t>
      </w:r>
      <w:r w:rsidR="0043748F" w:rsidRPr="001F1BE9">
        <w:rPr>
          <w:rFonts w:ascii="ＭＳ ゴシック" w:eastAsia="ＭＳ ゴシック" w:hAnsi="ＭＳ ゴシック" w:cs="Arial" w:hint="eastAsia"/>
          <w:color w:val="000000" w:themeColor="text1"/>
          <w:sz w:val="20"/>
          <w:szCs w:val="20"/>
        </w:rPr>
        <w:t>を</w:t>
      </w:r>
      <w:r w:rsidR="0073333B" w:rsidRPr="001F1BE9">
        <w:rPr>
          <w:rFonts w:ascii="ＭＳ ゴシック" w:eastAsia="ＭＳ ゴシック" w:hAnsi="ＭＳ ゴシック" w:cs="Arial" w:hint="eastAsia"/>
          <w:color w:val="000000" w:themeColor="text1"/>
          <w:sz w:val="20"/>
          <w:szCs w:val="20"/>
        </w:rPr>
        <w:t>満たしているか、また、</w:t>
      </w:r>
      <w:r w:rsidR="0043748F" w:rsidRPr="001F1BE9">
        <w:rPr>
          <w:rFonts w:ascii="ＭＳ ゴシック" w:eastAsia="ＭＳ ゴシック" w:hAnsi="ＭＳ ゴシック" w:cs="Arial" w:hint="eastAsia"/>
          <w:color w:val="000000" w:themeColor="text1"/>
          <w:sz w:val="20"/>
          <w:szCs w:val="20"/>
        </w:rPr>
        <w:t>それが</w:t>
      </w:r>
      <w:r w:rsidR="0073333B" w:rsidRPr="001F1BE9">
        <w:rPr>
          <w:rFonts w:ascii="ＭＳ ゴシック" w:eastAsia="ＭＳ ゴシック" w:hAnsi="ＭＳ ゴシック" w:cs="Arial" w:hint="eastAsia"/>
          <w:color w:val="000000" w:themeColor="text1"/>
          <w:sz w:val="20"/>
          <w:szCs w:val="20"/>
        </w:rPr>
        <w:t>どれだけ優れていると思われるか</w:t>
      </w:r>
      <w:r w:rsidR="0043748F" w:rsidRPr="001F1BE9">
        <w:rPr>
          <w:rFonts w:ascii="ＭＳ ゴシック" w:eastAsia="ＭＳ ゴシック" w:hAnsi="ＭＳ ゴシック" w:cs="Arial" w:hint="eastAsia"/>
          <w:color w:val="000000" w:themeColor="text1"/>
          <w:sz w:val="20"/>
          <w:szCs w:val="20"/>
        </w:rPr>
        <w:t>といった</w:t>
      </w:r>
      <w:r w:rsidR="0073333B" w:rsidRPr="001F1BE9">
        <w:rPr>
          <w:rFonts w:ascii="ＭＳ ゴシック" w:eastAsia="ＭＳ ゴシック" w:hAnsi="ＭＳ ゴシック" w:cs="Arial" w:hint="eastAsia"/>
          <w:color w:val="000000" w:themeColor="text1"/>
          <w:sz w:val="20"/>
          <w:szCs w:val="20"/>
        </w:rPr>
        <w:t>観点から</w:t>
      </w:r>
      <w:r w:rsidR="0043748F" w:rsidRPr="001F1BE9">
        <w:rPr>
          <w:rFonts w:ascii="ＭＳ ゴシック" w:eastAsia="ＭＳ ゴシック" w:hAnsi="ＭＳ ゴシック" w:cs="Arial" w:hint="eastAsia"/>
          <w:color w:val="000000" w:themeColor="text1"/>
          <w:sz w:val="20"/>
          <w:szCs w:val="20"/>
        </w:rPr>
        <w:t>選考</w:t>
      </w:r>
      <w:r w:rsidR="00C51A82" w:rsidRPr="001F1BE9">
        <w:rPr>
          <w:rFonts w:ascii="ＭＳ ゴシック" w:eastAsia="ＭＳ ゴシック" w:hAnsi="ＭＳ ゴシック" w:cs="Arial" w:hint="eastAsia"/>
          <w:color w:val="000000" w:themeColor="text1"/>
          <w:sz w:val="20"/>
          <w:szCs w:val="20"/>
        </w:rPr>
        <w:t>します</w:t>
      </w:r>
      <w:r w:rsidR="0073333B" w:rsidRPr="001F1BE9">
        <w:rPr>
          <w:rFonts w:ascii="ＭＳ ゴシック" w:eastAsia="ＭＳ ゴシック" w:hAnsi="ＭＳ ゴシック" w:cs="Arial" w:hint="eastAsia"/>
          <w:color w:val="000000" w:themeColor="text1"/>
          <w:sz w:val="20"/>
          <w:szCs w:val="20"/>
        </w:rPr>
        <w:t>。</w:t>
      </w:r>
    </w:p>
    <w:p w14:paraId="5DF8ACAB" w14:textId="77777777" w:rsidR="003818F9" w:rsidRPr="001F1BE9" w:rsidRDefault="003818F9" w:rsidP="00315E2E">
      <w:pPr>
        <w:pStyle w:val="a3"/>
        <w:ind w:leftChars="0" w:left="227"/>
        <w:rPr>
          <w:rFonts w:ascii="ＭＳ ゴシック" w:eastAsia="ＭＳ ゴシック" w:hAnsi="ＭＳ ゴシック" w:cs="Arial" w:hint="eastAsia"/>
          <w:color w:val="000000" w:themeColor="text1"/>
          <w:sz w:val="20"/>
          <w:szCs w:val="20"/>
        </w:rPr>
      </w:pPr>
    </w:p>
    <w:p w14:paraId="376D149A" w14:textId="77777777" w:rsidR="00315E2E" w:rsidRPr="001F1BE9" w:rsidRDefault="00F01C6F" w:rsidP="0043748F">
      <w:pPr>
        <w:pStyle w:val="a3"/>
        <w:numPr>
          <w:ilvl w:val="0"/>
          <w:numId w:val="8"/>
        </w:numPr>
        <w:ind w:leftChars="0" w:left="227" w:hanging="227"/>
        <w:rPr>
          <w:rFonts w:ascii="ＭＳ ゴシック" w:eastAsia="ＭＳ ゴシック" w:hAnsi="ＭＳ ゴシック" w:cs="Calibri"/>
          <w:color w:val="000000" w:themeColor="text1"/>
          <w:sz w:val="20"/>
          <w:szCs w:val="20"/>
        </w:rPr>
      </w:pPr>
      <w:proofErr w:type="gramStart"/>
      <w:r w:rsidRPr="001F1BE9">
        <w:rPr>
          <w:rFonts w:ascii="ＭＳ ゴシック" w:eastAsia="ＭＳ ゴシック" w:hAnsi="ＭＳ ゴシック" w:cs="Arial" w:hint="eastAsia"/>
          <w:b/>
          <w:bCs/>
          <w:color w:val="000000" w:themeColor="text1"/>
          <w:sz w:val="20"/>
          <w:szCs w:val="20"/>
        </w:rPr>
        <w:t>締切</w:t>
      </w:r>
      <w:proofErr w:type="gramEnd"/>
      <w:r w:rsidR="00CD13BF" w:rsidRPr="001F1BE9">
        <w:rPr>
          <w:rFonts w:ascii="ＭＳ ゴシック" w:eastAsia="ＭＳ ゴシック" w:hAnsi="ＭＳ ゴシック" w:cs="Arial" w:hint="eastAsia"/>
          <w:color w:val="000000" w:themeColor="text1"/>
          <w:sz w:val="20"/>
          <w:szCs w:val="20"/>
        </w:rPr>
        <w:t xml:space="preserve">：　</w:t>
      </w:r>
    </w:p>
    <w:p w14:paraId="587F9E5B" w14:textId="61797A35" w:rsidR="00CD13BF" w:rsidRPr="001F1BE9" w:rsidRDefault="00F01C6F" w:rsidP="00315E2E">
      <w:pPr>
        <w:pStyle w:val="a3"/>
        <w:ind w:leftChars="0" w:left="227"/>
        <w:rPr>
          <w:rFonts w:ascii="ＭＳ ゴシック" w:eastAsia="ＭＳ ゴシック" w:hAnsi="ＭＳ ゴシック"/>
          <w:color w:val="000000" w:themeColor="text1"/>
          <w:sz w:val="20"/>
          <w:szCs w:val="20"/>
        </w:rPr>
      </w:pPr>
      <w:r w:rsidRPr="001F1BE9">
        <w:rPr>
          <w:rFonts w:ascii="ＭＳ ゴシック" w:eastAsia="ＭＳ ゴシック" w:hAnsi="ＭＳ ゴシック" w:cs="Arial" w:hint="eastAsia"/>
          <w:b/>
          <w:bCs/>
          <w:color w:val="C00000"/>
          <w:sz w:val="20"/>
          <w:szCs w:val="20"/>
          <w:u w:val="single"/>
        </w:rPr>
        <w:t>2</w:t>
      </w:r>
      <w:r w:rsidRPr="001F1BE9">
        <w:rPr>
          <w:rFonts w:ascii="ＭＳ ゴシック" w:eastAsia="ＭＳ ゴシック" w:hAnsi="ＭＳ ゴシック" w:cs="Arial"/>
          <w:b/>
          <w:bCs/>
          <w:color w:val="C00000"/>
          <w:sz w:val="20"/>
          <w:szCs w:val="20"/>
          <w:u w:val="single"/>
        </w:rPr>
        <w:t>0</w:t>
      </w:r>
      <w:r w:rsidR="00011EA2" w:rsidRPr="001F1BE9">
        <w:rPr>
          <w:rFonts w:ascii="ＭＳ ゴシック" w:eastAsia="ＭＳ ゴシック" w:hAnsi="ＭＳ ゴシック" w:cs="Arial"/>
          <w:b/>
          <w:bCs/>
          <w:color w:val="C00000"/>
          <w:sz w:val="20"/>
          <w:szCs w:val="20"/>
          <w:u w:val="single"/>
        </w:rPr>
        <w:t>2</w:t>
      </w:r>
      <w:r w:rsidR="00633350" w:rsidRPr="001F1BE9">
        <w:rPr>
          <w:rFonts w:ascii="ＭＳ ゴシック" w:eastAsia="ＭＳ ゴシック" w:hAnsi="ＭＳ ゴシック" w:cs="Arial"/>
          <w:b/>
          <w:bCs/>
          <w:color w:val="C00000"/>
          <w:sz w:val="20"/>
          <w:szCs w:val="20"/>
          <w:u w:val="single"/>
        </w:rPr>
        <w:t>2</w:t>
      </w:r>
      <w:r w:rsidRPr="001F1BE9">
        <w:rPr>
          <w:rFonts w:ascii="ＭＳ ゴシック" w:eastAsia="ＭＳ ゴシック" w:hAnsi="ＭＳ ゴシック" w:cs="Arial" w:hint="eastAsia"/>
          <w:b/>
          <w:bCs/>
          <w:color w:val="C00000"/>
          <w:sz w:val="20"/>
          <w:szCs w:val="20"/>
          <w:u w:val="single"/>
        </w:rPr>
        <w:t>年</w:t>
      </w:r>
      <w:r w:rsidR="00633350" w:rsidRPr="001F1BE9">
        <w:rPr>
          <w:rFonts w:ascii="ＭＳ ゴシック" w:eastAsia="ＭＳ ゴシック" w:hAnsi="ＭＳ ゴシック" w:cs="Arial"/>
          <w:b/>
          <w:bCs/>
          <w:color w:val="C00000"/>
          <w:sz w:val="20"/>
          <w:szCs w:val="20"/>
          <w:u w:val="single"/>
        </w:rPr>
        <w:t>7</w:t>
      </w:r>
      <w:r w:rsidRPr="001F1BE9">
        <w:rPr>
          <w:rFonts w:ascii="ＭＳ ゴシック" w:eastAsia="ＭＳ ゴシック" w:hAnsi="ＭＳ ゴシック" w:cs="Arial" w:hint="eastAsia"/>
          <w:b/>
          <w:bCs/>
          <w:color w:val="C00000"/>
          <w:sz w:val="20"/>
          <w:szCs w:val="20"/>
          <w:u w:val="single"/>
        </w:rPr>
        <w:t>月</w:t>
      </w:r>
      <w:r w:rsidR="00633350" w:rsidRPr="001F1BE9">
        <w:rPr>
          <w:rFonts w:ascii="ＭＳ ゴシック" w:eastAsia="ＭＳ ゴシック" w:hAnsi="ＭＳ ゴシック" w:cs="Arial" w:hint="eastAsia"/>
          <w:b/>
          <w:bCs/>
          <w:color w:val="C00000"/>
          <w:sz w:val="20"/>
          <w:szCs w:val="20"/>
          <w:u w:val="single"/>
        </w:rPr>
        <w:t>3</w:t>
      </w:r>
      <w:r w:rsidR="00633350" w:rsidRPr="001F1BE9">
        <w:rPr>
          <w:rFonts w:ascii="ＭＳ ゴシック" w:eastAsia="ＭＳ ゴシック" w:hAnsi="ＭＳ ゴシック" w:cs="Arial"/>
          <w:b/>
          <w:bCs/>
          <w:color w:val="C00000"/>
          <w:sz w:val="20"/>
          <w:szCs w:val="20"/>
          <w:u w:val="single"/>
        </w:rPr>
        <w:t>1</w:t>
      </w:r>
      <w:r w:rsidRPr="001F1BE9">
        <w:rPr>
          <w:rFonts w:ascii="ＭＳ ゴシック" w:eastAsia="ＭＳ ゴシック" w:hAnsi="ＭＳ ゴシック" w:cs="Arial" w:hint="eastAsia"/>
          <w:b/>
          <w:bCs/>
          <w:color w:val="C00000"/>
          <w:sz w:val="20"/>
          <w:szCs w:val="20"/>
          <w:u w:val="single"/>
        </w:rPr>
        <w:t>日</w:t>
      </w:r>
      <w:r w:rsidR="0043748F" w:rsidRPr="001F1BE9">
        <w:rPr>
          <w:rFonts w:ascii="ＭＳ ゴシック" w:eastAsia="ＭＳ ゴシック" w:hAnsi="ＭＳ ゴシック" w:cs="Arial" w:hint="eastAsia"/>
          <w:b/>
          <w:bCs/>
          <w:color w:val="C00000"/>
          <w:sz w:val="20"/>
          <w:szCs w:val="20"/>
        </w:rPr>
        <w:t>。</w:t>
      </w:r>
      <w:r w:rsidR="00A229D1" w:rsidRPr="001F1BE9">
        <w:rPr>
          <w:rFonts w:ascii="ＭＳ ゴシック" w:eastAsia="ＭＳ ゴシック" w:hAnsi="ＭＳ ゴシック" w:cs="Arial" w:hint="eastAsia"/>
          <w:color w:val="000000" w:themeColor="text1"/>
          <w:sz w:val="20"/>
          <w:szCs w:val="20"/>
        </w:rPr>
        <w:t>申込み</w:t>
      </w:r>
      <w:r w:rsidR="0043748F" w:rsidRPr="001F1BE9">
        <w:rPr>
          <w:rFonts w:ascii="ＭＳ ゴシック" w:eastAsia="ＭＳ ゴシック" w:hAnsi="ＭＳ ゴシック" w:cs="Arial" w:hint="eastAsia"/>
          <w:color w:val="000000" w:themeColor="text1"/>
          <w:sz w:val="20"/>
          <w:szCs w:val="20"/>
        </w:rPr>
        <w:t>は原則として国際交流委員会が作成し</w:t>
      </w:r>
      <w:r w:rsidR="00A229D1" w:rsidRPr="001F1BE9">
        <w:rPr>
          <w:rFonts w:ascii="ＭＳ ゴシック" w:eastAsia="ＭＳ ゴシック" w:hAnsi="ＭＳ ゴシック" w:cs="Arial" w:hint="eastAsia"/>
          <w:color w:val="000000" w:themeColor="text1"/>
          <w:sz w:val="20"/>
          <w:szCs w:val="20"/>
        </w:rPr>
        <w:t>た下記の</w:t>
      </w:r>
      <w:r w:rsidR="00A229D1" w:rsidRPr="001F1BE9">
        <w:rPr>
          <w:rFonts w:ascii="ＭＳ ゴシック" w:eastAsia="ＭＳ ゴシック" w:hAnsi="ＭＳ ゴシック" w:cs="Arial"/>
          <w:color w:val="000000" w:themeColor="text1"/>
          <w:sz w:val="20"/>
          <w:szCs w:val="20"/>
        </w:rPr>
        <w:t>Google</w:t>
      </w:r>
      <w:r w:rsidR="00A6138B" w:rsidRPr="001F1BE9">
        <w:rPr>
          <w:rFonts w:ascii="ＭＳ ゴシック" w:eastAsia="ＭＳ ゴシック" w:hAnsi="ＭＳ ゴシック" w:cs="Arial" w:hint="eastAsia"/>
          <w:color w:val="000000" w:themeColor="text1"/>
          <w:sz w:val="20"/>
          <w:szCs w:val="20"/>
        </w:rPr>
        <w:t>フォーム</w:t>
      </w:r>
      <w:r w:rsidR="00A229D1" w:rsidRPr="001F1BE9">
        <w:rPr>
          <w:rFonts w:ascii="ＭＳ ゴシック" w:eastAsia="ＭＳ ゴシック" w:hAnsi="ＭＳ ゴシック" w:cs="Arial" w:hint="eastAsia"/>
          <w:color w:val="000000" w:themeColor="text1"/>
          <w:sz w:val="20"/>
          <w:szCs w:val="20"/>
        </w:rPr>
        <w:t>からお願いします</w:t>
      </w:r>
    </w:p>
    <w:p w14:paraId="0C523825" w14:textId="2A416F82" w:rsidR="003818F9" w:rsidRPr="00827CBD" w:rsidRDefault="003818F9" w:rsidP="00315E2E">
      <w:pPr>
        <w:pStyle w:val="a3"/>
        <w:ind w:leftChars="0" w:left="227"/>
        <w:rPr>
          <w:rFonts w:ascii="ＭＳ ゴシック" w:eastAsia="ＭＳ ゴシック" w:hAnsi="ＭＳ ゴシック" w:cs="Calibri"/>
          <w:color w:val="000000" w:themeColor="text1"/>
          <w:sz w:val="20"/>
          <w:szCs w:val="20"/>
        </w:rPr>
      </w:pPr>
    </w:p>
    <w:p w14:paraId="3A4019D9" w14:textId="77777777" w:rsidR="00827CBD" w:rsidRDefault="00827CBD" w:rsidP="00827CBD">
      <w:pPr>
        <w:ind w:leftChars="100" w:left="240"/>
      </w:pPr>
      <w:hyperlink r:id="rId7" w:tgtFrame="_blank" w:history="1">
        <w:r>
          <w:rPr>
            <w:rStyle w:val="a5"/>
            <w:rFonts w:ascii="Arial" w:hAnsi="Arial" w:cs="Arial"/>
            <w:color w:val="1155CC"/>
          </w:rPr>
          <w:t>https://forms.gle/LPmdUJSn2GJDSUuYA</w:t>
        </w:r>
      </w:hyperlink>
    </w:p>
    <w:p w14:paraId="2B5FAAEA" w14:textId="77777777" w:rsidR="00827CBD" w:rsidRPr="00827CBD" w:rsidRDefault="00827CBD" w:rsidP="00315E2E">
      <w:pPr>
        <w:pStyle w:val="a3"/>
        <w:ind w:leftChars="0" w:left="227"/>
        <w:rPr>
          <w:rFonts w:ascii="ＭＳ ゴシック" w:eastAsia="ＭＳ ゴシック" w:hAnsi="ＭＳ ゴシック" w:cs="Calibri" w:hint="eastAsia"/>
          <w:color w:val="000000" w:themeColor="text1"/>
          <w:sz w:val="20"/>
          <w:szCs w:val="20"/>
        </w:rPr>
      </w:pPr>
    </w:p>
    <w:p w14:paraId="2BCFF113" w14:textId="4940A4B4" w:rsidR="00011EA2" w:rsidRPr="001F1BE9" w:rsidRDefault="00011EA2" w:rsidP="0061079E">
      <w:pPr>
        <w:rPr>
          <w:rFonts w:ascii="ＭＳ ゴシック" w:eastAsia="ＭＳ ゴシック" w:hAnsi="ＭＳ ゴシック" w:cs="Arial"/>
          <w:color w:val="000000" w:themeColor="text1"/>
          <w:sz w:val="21"/>
          <w:szCs w:val="21"/>
        </w:rPr>
      </w:pPr>
    </w:p>
    <w:p w14:paraId="4FFB6F3F" w14:textId="0942DD74" w:rsidR="003818F9" w:rsidRPr="001F1BE9" w:rsidRDefault="003818F9" w:rsidP="0061079E">
      <w:pPr>
        <w:rPr>
          <w:rFonts w:ascii="ＭＳ ゴシック" w:eastAsia="ＭＳ ゴシック" w:hAnsi="ＭＳ ゴシック" w:cs="Arial"/>
          <w:color w:val="000000" w:themeColor="text1"/>
          <w:sz w:val="21"/>
          <w:szCs w:val="21"/>
        </w:rPr>
      </w:pPr>
    </w:p>
    <w:p w14:paraId="02FCD0F9" w14:textId="37E98699" w:rsidR="003818F9" w:rsidRPr="001F1BE9" w:rsidRDefault="003818F9" w:rsidP="0061079E">
      <w:pPr>
        <w:rPr>
          <w:rFonts w:ascii="ＭＳ ゴシック" w:eastAsia="ＭＳ ゴシック" w:hAnsi="ＭＳ ゴシック" w:cs="Arial" w:hint="eastAsia"/>
          <w:color w:val="000000" w:themeColor="text1"/>
          <w:sz w:val="21"/>
          <w:szCs w:val="21"/>
        </w:rPr>
      </w:pPr>
    </w:p>
    <w:p w14:paraId="14DD6085" w14:textId="77777777" w:rsidR="003818F9" w:rsidRPr="001F1BE9" w:rsidRDefault="003818F9" w:rsidP="0061079E">
      <w:pPr>
        <w:rPr>
          <w:rFonts w:ascii="ＭＳ ゴシック" w:eastAsia="ＭＳ ゴシック" w:hAnsi="ＭＳ ゴシック" w:cs="Arial" w:hint="eastAsia"/>
          <w:color w:val="000000" w:themeColor="text1"/>
          <w:sz w:val="21"/>
          <w:szCs w:val="21"/>
        </w:rPr>
      </w:pPr>
    </w:p>
    <w:p w14:paraId="1FE584B3" w14:textId="24C8E25E" w:rsidR="003D29DC" w:rsidRPr="001F1BE9" w:rsidRDefault="00455DFB" w:rsidP="00812EC0">
      <w:pPr>
        <w:pStyle w:val="a3"/>
        <w:widowControl/>
        <w:numPr>
          <w:ilvl w:val="0"/>
          <w:numId w:val="1"/>
        </w:numPr>
        <w:ind w:leftChars="0"/>
        <w:rPr>
          <w:rFonts w:ascii="ＭＳ ゴシック" w:eastAsia="ＭＳ ゴシック" w:hAnsi="ＭＳ ゴシック" w:cs="Arial"/>
          <w:b/>
          <w:color w:val="000000" w:themeColor="text1"/>
          <w:kern w:val="0"/>
          <w:sz w:val="21"/>
          <w:szCs w:val="21"/>
        </w:rPr>
      </w:pPr>
      <w:r w:rsidRPr="001F1BE9">
        <w:rPr>
          <w:rFonts w:ascii="ＭＳ ゴシック" w:eastAsia="ＭＳ ゴシック" w:hAnsi="ＭＳ ゴシック" w:cs="Arial"/>
          <w:b/>
          <w:color w:val="000000" w:themeColor="text1"/>
          <w:kern w:val="0"/>
          <w:sz w:val="21"/>
          <w:szCs w:val="21"/>
        </w:rPr>
        <w:lastRenderedPageBreak/>
        <w:t>ASBH</w:t>
      </w:r>
      <w:r w:rsidRPr="001F1BE9">
        <w:rPr>
          <w:rFonts w:ascii="ＭＳ ゴシック" w:eastAsia="ＭＳ ゴシック" w:hAnsi="ＭＳ ゴシック" w:cs="Arial" w:hint="eastAsia"/>
          <w:b/>
          <w:color w:val="000000" w:themeColor="text1"/>
          <w:kern w:val="0"/>
          <w:sz w:val="21"/>
          <w:szCs w:val="21"/>
        </w:rPr>
        <w:t>／</w:t>
      </w:r>
      <w:r w:rsidRPr="001F1BE9">
        <w:rPr>
          <w:rFonts w:ascii="ＭＳ ゴシック" w:eastAsia="ＭＳ ゴシック" w:hAnsi="ＭＳ ゴシック" w:cs="Arial"/>
          <w:b/>
          <w:color w:val="000000" w:themeColor="text1"/>
          <w:kern w:val="0"/>
          <w:sz w:val="21"/>
          <w:szCs w:val="21"/>
        </w:rPr>
        <w:t>IAB</w:t>
      </w:r>
      <w:r w:rsidRPr="001F1BE9">
        <w:rPr>
          <w:rFonts w:ascii="ＭＳ ゴシック" w:eastAsia="ＭＳ ゴシック" w:hAnsi="ＭＳ ゴシック" w:cs="Arial" w:hint="eastAsia"/>
          <w:b/>
          <w:color w:val="000000" w:themeColor="text1"/>
          <w:kern w:val="0"/>
          <w:sz w:val="21"/>
          <w:szCs w:val="21"/>
        </w:rPr>
        <w:t>の発表者とアブストラクト</w:t>
      </w:r>
    </w:p>
    <w:p w14:paraId="3D9F8A3A" w14:textId="5E46B9D2" w:rsidR="00B70136" w:rsidRPr="001F1BE9" w:rsidRDefault="00B70136" w:rsidP="00812EC0">
      <w:pPr>
        <w:pStyle w:val="a3"/>
        <w:numPr>
          <w:ilvl w:val="0"/>
          <w:numId w:val="5"/>
        </w:numPr>
        <w:ind w:leftChars="0" w:left="227" w:hanging="227"/>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hint="eastAsia"/>
          <w:color w:val="000000" w:themeColor="text1"/>
          <w:sz w:val="20"/>
          <w:szCs w:val="20"/>
        </w:rPr>
        <w:t>A</w:t>
      </w:r>
      <w:r w:rsidRPr="001F1BE9">
        <w:rPr>
          <w:rFonts w:ascii="ＭＳ ゴシック" w:eastAsia="ＭＳ ゴシック" w:hAnsi="ＭＳ ゴシック" w:cs="Arial"/>
          <w:color w:val="000000" w:themeColor="text1"/>
          <w:sz w:val="20"/>
          <w:szCs w:val="20"/>
        </w:rPr>
        <w:t>SBH</w:t>
      </w:r>
    </w:p>
    <w:tbl>
      <w:tblPr>
        <w:tblStyle w:val="af"/>
        <w:tblW w:w="8505" w:type="dxa"/>
        <w:tblInd w:w="-5" w:type="dxa"/>
        <w:tblLook w:val="04A0" w:firstRow="1" w:lastRow="0" w:firstColumn="1" w:lastColumn="0" w:noHBand="0" w:noVBand="1"/>
      </w:tblPr>
      <w:tblGrid>
        <w:gridCol w:w="1403"/>
        <w:gridCol w:w="1358"/>
        <w:gridCol w:w="2760"/>
        <w:gridCol w:w="2984"/>
      </w:tblGrid>
      <w:tr w:rsidR="00B70136" w:rsidRPr="001F1BE9" w14:paraId="395314B4" w14:textId="77777777" w:rsidTr="002C6DED">
        <w:tc>
          <w:tcPr>
            <w:tcW w:w="1200" w:type="dxa"/>
            <w:shd w:val="clear" w:color="auto" w:fill="F2F2F2" w:themeFill="background1" w:themeFillShade="F2"/>
          </w:tcPr>
          <w:p w14:paraId="5B95DF7F" w14:textId="77777777" w:rsidR="00B70136" w:rsidRPr="001F1BE9" w:rsidRDefault="00B70136"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hint="eastAsia"/>
                <w:color w:val="000000"/>
                <w:szCs w:val="21"/>
              </w:rPr>
              <w:t>N</w:t>
            </w:r>
            <w:r w:rsidRPr="001F1BE9">
              <w:rPr>
                <w:rFonts w:ascii="ＭＳ ゴシック" w:eastAsia="ＭＳ ゴシック" w:hAnsi="ＭＳ ゴシック" w:cs="MS-Gothic"/>
                <w:color w:val="000000"/>
                <w:szCs w:val="21"/>
              </w:rPr>
              <w:t>ame</w:t>
            </w:r>
          </w:p>
        </w:tc>
        <w:tc>
          <w:tcPr>
            <w:tcW w:w="1118" w:type="dxa"/>
            <w:shd w:val="clear" w:color="auto" w:fill="F2F2F2" w:themeFill="background1" w:themeFillShade="F2"/>
          </w:tcPr>
          <w:p w14:paraId="1FABEAF9" w14:textId="77777777" w:rsidR="00B70136" w:rsidRPr="001F1BE9" w:rsidRDefault="00B70136"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hint="eastAsia"/>
                <w:color w:val="000000"/>
                <w:szCs w:val="21"/>
              </w:rPr>
              <w:t>R</w:t>
            </w:r>
            <w:r w:rsidRPr="001F1BE9">
              <w:rPr>
                <w:rFonts w:ascii="ＭＳ ゴシック" w:eastAsia="ＭＳ ゴシック" w:hAnsi="ＭＳ ゴシック" w:cs="MS-Gothic"/>
                <w:color w:val="000000"/>
                <w:szCs w:val="21"/>
              </w:rPr>
              <w:t>esidence</w:t>
            </w:r>
          </w:p>
        </w:tc>
        <w:tc>
          <w:tcPr>
            <w:tcW w:w="2360" w:type="dxa"/>
            <w:shd w:val="clear" w:color="auto" w:fill="F2F2F2" w:themeFill="background1" w:themeFillShade="F2"/>
          </w:tcPr>
          <w:p w14:paraId="21621226" w14:textId="77777777" w:rsidR="00B70136" w:rsidRPr="001F1BE9" w:rsidRDefault="00B70136"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color w:val="000000"/>
                <w:szCs w:val="21"/>
              </w:rPr>
              <w:t>Affiliation</w:t>
            </w:r>
          </w:p>
        </w:tc>
        <w:tc>
          <w:tcPr>
            <w:tcW w:w="2551" w:type="dxa"/>
            <w:shd w:val="clear" w:color="auto" w:fill="F2F2F2" w:themeFill="background1" w:themeFillShade="F2"/>
          </w:tcPr>
          <w:p w14:paraId="4A5EFE6A" w14:textId="77777777" w:rsidR="00B70136" w:rsidRPr="001F1BE9" w:rsidRDefault="00B70136"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hint="eastAsia"/>
                <w:color w:val="000000"/>
                <w:szCs w:val="21"/>
              </w:rPr>
              <w:t>T</w:t>
            </w:r>
            <w:r w:rsidRPr="001F1BE9">
              <w:rPr>
                <w:rFonts w:ascii="ＭＳ ゴシック" w:eastAsia="ＭＳ ゴシック" w:hAnsi="ＭＳ ゴシック" w:cs="MS-Gothic"/>
                <w:color w:val="000000"/>
                <w:szCs w:val="21"/>
              </w:rPr>
              <w:t>itle of the paper</w:t>
            </w:r>
          </w:p>
        </w:tc>
      </w:tr>
      <w:tr w:rsidR="00B70136" w:rsidRPr="001F1BE9" w14:paraId="25EF78DB" w14:textId="77777777" w:rsidTr="002C6DED">
        <w:tc>
          <w:tcPr>
            <w:tcW w:w="1200" w:type="dxa"/>
          </w:tcPr>
          <w:p w14:paraId="434E2252" w14:textId="34564AA3" w:rsidR="00B70136" w:rsidRPr="001F1BE9" w:rsidRDefault="005E70B1" w:rsidP="00B02B7F">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Bryanna Moore</w:t>
            </w:r>
          </w:p>
        </w:tc>
        <w:tc>
          <w:tcPr>
            <w:tcW w:w="1118" w:type="dxa"/>
          </w:tcPr>
          <w:p w14:paraId="278770F8" w14:textId="77777777" w:rsidR="00B70136" w:rsidRPr="001F1BE9" w:rsidRDefault="00B70136" w:rsidP="002C6DED">
            <w:pPr>
              <w:rPr>
                <w:rFonts w:ascii="ＭＳ ゴシック" w:eastAsia="ＭＳ ゴシック" w:hAnsi="ＭＳ ゴシック" w:cs="Arial"/>
                <w:color w:val="000000"/>
                <w:szCs w:val="21"/>
              </w:rPr>
            </w:pPr>
            <w:r w:rsidRPr="001F1BE9">
              <w:rPr>
                <w:rFonts w:ascii="ＭＳ ゴシック" w:eastAsia="ＭＳ ゴシック" w:hAnsi="ＭＳ ゴシック" w:cs="Arial"/>
                <w:color w:val="000000"/>
                <w:szCs w:val="21"/>
              </w:rPr>
              <w:t>USA</w:t>
            </w:r>
          </w:p>
        </w:tc>
        <w:tc>
          <w:tcPr>
            <w:tcW w:w="2360" w:type="dxa"/>
          </w:tcPr>
          <w:p w14:paraId="12D299DC" w14:textId="5DD571F8" w:rsidR="00B02B7F" w:rsidRPr="001F1BE9" w:rsidRDefault="005E70B1" w:rsidP="00B02B7F">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The University of Texas Medical Branch</w:t>
            </w:r>
          </w:p>
          <w:p w14:paraId="7A9925C2" w14:textId="2554E1FC" w:rsidR="00B70136" w:rsidRPr="001F1BE9" w:rsidRDefault="00B70136" w:rsidP="002C6DED">
            <w:pPr>
              <w:rPr>
                <w:rFonts w:ascii="ＭＳ ゴシック" w:eastAsia="ＭＳ ゴシック" w:hAnsi="ＭＳ ゴシック" w:cs="Arial"/>
                <w:color w:val="000000"/>
                <w:szCs w:val="21"/>
              </w:rPr>
            </w:pPr>
          </w:p>
        </w:tc>
        <w:tc>
          <w:tcPr>
            <w:tcW w:w="2551" w:type="dxa"/>
          </w:tcPr>
          <w:p w14:paraId="604A857A" w14:textId="27C37A98" w:rsidR="00B70136" w:rsidRPr="001F1BE9" w:rsidRDefault="005E70B1" w:rsidP="002C6DED">
            <w:pPr>
              <w:rPr>
                <w:rFonts w:ascii="ＭＳ ゴシック" w:eastAsia="ＭＳ ゴシック" w:hAnsi="ＭＳ ゴシック" w:cs="Arial"/>
                <w:color w:val="000000"/>
                <w:szCs w:val="21"/>
              </w:rPr>
            </w:pPr>
            <w:r w:rsidRPr="001F1BE9">
              <w:rPr>
                <w:rFonts w:ascii="ＭＳ ゴシック" w:eastAsia="ＭＳ ゴシック" w:hAnsi="ＭＳ ゴシック" w:cs="Arial"/>
                <w:color w:val="000000"/>
                <w:sz w:val="20"/>
                <w:szCs w:val="20"/>
              </w:rPr>
              <w:t>Weighed, Measured, and Found Wanting? The Use of Quality of Dying and Death Instruments in Health Research, Policy and Practice</w:t>
            </w:r>
          </w:p>
        </w:tc>
      </w:tr>
    </w:tbl>
    <w:p w14:paraId="73A35236" w14:textId="5A53834E" w:rsidR="00B70136" w:rsidRPr="001F1BE9" w:rsidRDefault="00B70136" w:rsidP="00812EC0">
      <w:pPr>
        <w:jc w:val="both"/>
        <w:rPr>
          <w:rFonts w:ascii="ＭＳ ゴシック" w:eastAsia="ＭＳ ゴシック" w:hAnsi="ＭＳ ゴシック" w:cs="Arial"/>
          <w:color w:val="000000" w:themeColor="text1"/>
          <w:sz w:val="20"/>
          <w:szCs w:val="20"/>
        </w:rPr>
      </w:pPr>
    </w:p>
    <w:tbl>
      <w:tblPr>
        <w:tblStyle w:val="af"/>
        <w:tblW w:w="8530" w:type="dxa"/>
        <w:tblLook w:val="04A0" w:firstRow="1" w:lastRow="0" w:firstColumn="1" w:lastColumn="0" w:noHBand="0" w:noVBand="1"/>
      </w:tblPr>
      <w:tblGrid>
        <w:gridCol w:w="1056"/>
        <w:gridCol w:w="7474"/>
      </w:tblGrid>
      <w:tr w:rsidR="00B70136" w:rsidRPr="001F1BE9" w14:paraId="3D18CA12" w14:textId="77777777" w:rsidTr="00135BCD">
        <w:trPr>
          <w:trHeight w:val="4952"/>
        </w:trPr>
        <w:tc>
          <w:tcPr>
            <w:tcW w:w="988" w:type="dxa"/>
            <w:shd w:val="pct5" w:color="auto" w:fill="auto"/>
          </w:tcPr>
          <w:p w14:paraId="40DDC55D" w14:textId="77777777" w:rsidR="00B70136" w:rsidRPr="001F1BE9" w:rsidRDefault="00B70136" w:rsidP="002C6DED">
            <w:pPr>
              <w:tabs>
                <w:tab w:val="right" w:pos="5812"/>
              </w:tabs>
              <w:rPr>
                <w:rFonts w:ascii="ＭＳ ゴシック" w:eastAsia="ＭＳ ゴシック" w:hAnsi="ＭＳ ゴシック"/>
                <w:color w:val="000000" w:themeColor="text1"/>
                <w:szCs w:val="21"/>
              </w:rPr>
            </w:pPr>
            <w:r w:rsidRPr="001F1BE9">
              <w:rPr>
                <w:rFonts w:ascii="ＭＳ ゴシック" w:eastAsia="ＭＳ ゴシック" w:hAnsi="ＭＳ ゴシック"/>
                <w:color w:val="000000" w:themeColor="text1"/>
                <w:szCs w:val="21"/>
              </w:rPr>
              <w:t>Abstract</w:t>
            </w:r>
          </w:p>
        </w:tc>
        <w:tc>
          <w:tcPr>
            <w:tcW w:w="7542" w:type="dxa"/>
          </w:tcPr>
          <w:p w14:paraId="670F3361" w14:textId="77777777" w:rsidR="00135BCD" w:rsidRPr="001F1BE9" w:rsidRDefault="00135BCD" w:rsidP="00135BCD">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Over the past 20 years, there has been a surge of empirical work designed to assess the “quality of death and dying” (QODD) of patients. QODD instruments are typically surveys that ask family members, clinicians or, occasionally, patients, to identify the domains that are most important to them at the end of their life or rate someone’s dying experience against validated domains. What they suggest is that people like to have choice, the option to relieve avoidable pain, and to be accompanied at their time of their death by persons of their choosing. Researchers claim that QODD instruments provide a basis for: (1) comparing dying outcomes across settings and patient populations, (2) establishing the clinical or economic efficacy of different interventions at the end of a patient’s life, and (3) setting priorities that can be translated into policy and practice. The general idea behind the use of QODD instruments is that, by identifying bad deaths or dying experiences, we can aid quality improvement efforts in end-of-life care and help patients to die “a good death”. Between the medicalization of death, our aging population, and the increasingly pluralistic nature of the societies we live in, this is an issue that is of not only clinical but also social and political significance.</w:t>
            </w:r>
          </w:p>
          <w:p w14:paraId="4D32F04C" w14:textId="77777777" w:rsidR="00135BCD" w:rsidRPr="001F1BE9" w:rsidRDefault="00135BCD" w:rsidP="00135BCD">
            <w:pPr>
              <w:pStyle w:val="Default"/>
              <w:rPr>
                <w:rFonts w:ascii="ＭＳ ゴシック" w:eastAsia="ＭＳ ゴシック" w:hAnsi="ＭＳ ゴシック" w:cs="Arial"/>
                <w:color w:val="202024"/>
                <w:szCs w:val="21"/>
              </w:rPr>
            </w:pPr>
          </w:p>
          <w:p w14:paraId="0F43F4F3" w14:textId="36396834" w:rsidR="00B70136" w:rsidRPr="001F1BE9" w:rsidRDefault="00135BCD" w:rsidP="00135BCD">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 xml:space="preserve">Striving to understand and improve the experiences of patients and caregivers at the end of someone’s life is a laudable goal. The end of someone’s life can be a defining moment for patients, families, caregivers, healthcare professionals and communities. However, there are important metaphysical, ethical, and practical challenges associated with the use of such instruments to guide policy and practice. Of note, many of the challenges QODD instruments face mirror the problems faced by quality-of-life instruments. While many of these difficulties are explicitly acknowledged in the existing literature on the QODD, approaches to evaluating the dying experiences of patients and caregivers have remained largely unchanged. My aims in this presentation are, firstly, to clarify the main problems associated with QODD instruments, and, secondly, </w:t>
            </w:r>
            <w:r w:rsidRPr="001F1BE9">
              <w:rPr>
                <w:rFonts w:ascii="ＭＳ ゴシック" w:eastAsia="ＭＳ ゴシック" w:hAnsi="ＭＳ ゴシック" w:cs="Arial"/>
                <w:color w:val="202024"/>
                <w:szCs w:val="21"/>
              </w:rPr>
              <w:lastRenderedPageBreak/>
              <w:t>explore whether these empirical instruments can and should be revised given these challenges. I explore whether there is a more constructive way to evaluate the dying experiences of patients, particularly patients and families who decline palliative care or reject conventional ideas of a good death. I argue that insights from philosophy, behavioral science and clinical ethics provide important insight into why it is so difficult to measure and evaluate dying experiences and hint at some promising ways to move forward.</w:t>
            </w:r>
          </w:p>
        </w:tc>
      </w:tr>
    </w:tbl>
    <w:p w14:paraId="64FC10FA" w14:textId="35243424" w:rsidR="003818F9" w:rsidRPr="001F1BE9" w:rsidRDefault="003818F9" w:rsidP="00812EC0">
      <w:pPr>
        <w:jc w:val="both"/>
        <w:rPr>
          <w:rFonts w:ascii="ＭＳ ゴシック" w:eastAsia="ＭＳ ゴシック" w:hAnsi="ＭＳ ゴシック" w:cs="Arial" w:hint="eastAsia"/>
          <w:color w:val="000000" w:themeColor="text1"/>
          <w:sz w:val="20"/>
          <w:szCs w:val="20"/>
        </w:rPr>
      </w:pPr>
    </w:p>
    <w:p w14:paraId="48F12371" w14:textId="77777777" w:rsidR="003818F9" w:rsidRPr="001F1BE9" w:rsidRDefault="003818F9" w:rsidP="00812EC0">
      <w:pPr>
        <w:jc w:val="both"/>
        <w:rPr>
          <w:rFonts w:ascii="ＭＳ ゴシック" w:eastAsia="ＭＳ ゴシック" w:hAnsi="ＭＳ ゴシック" w:cs="Arial" w:hint="eastAsia"/>
          <w:color w:val="000000" w:themeColor="text1"/>
          <w:sz w:val="20"/>
          <w:szCs w:val="20"/>
        </w:rPr>
      </w:pPr>
    </w:p>
    <w:p w14:paraId="09781A5E" w14:textId="6615A832" w:rsidR="003107DC" w:rsidRPr="001F1BE9" w:rsidRDefault="003107DC" w:rsidP="003107DC">
      <w:pPr>
        <w:pStyle w:val="a3"/>
        <w:numPr>
          <w:ilvl w:val="0"/>
          <w:numId w:val="5"/>
        </w:numPr>
        <w:ind w:leftChars="0" w:left="227" w:hanging="227"/>
        <w:rPr>
          <w:rFonts w:ascii="ＭＳ ゴシック" w:eastAsia="ＭＳ ゴシック" w:hAnsi="ＭＳ ゴシック" w:cs="Arial"/>
          <w:color w:val="000000" w:themeColor="text1"/>
          <w:sz w:val="20"/>
          <w:szCs w:val="20"/>
        </w:rPr>
      </w:pPr>
      <w:r w:rsidRPr="001F1BE9">
        <w:rPr>
          <w:rFonts w:ascii="ＭＳ ゴシック" w:eastAsia="ＭＳ ゴシック" w:hAnsi="ＭＳ ゴシック" w:cs="Arial"/>
          <w:color w:val="000000" w:themeColor="text1"/>
          <w:sz w:val="20"/>
          <w:szCs w:val="20"/>
        </w:rPr>
        <w:t>IAB</w:t>
      </w:r>
    </w:p>
    <w:tbl>
      <w:tblPr>
        <w:tblStyle w:val="af"/>
        <w:tblW w:w="8505" w:type="dxa"/>
        <w:tblInd w:w="-5" w:type="dxa"/>
        <w:tblLook w:val="04A0" w:firstRow="1" w:lastRow="0" w:firstColumn="1" w:lastColumn="0" w:noHBand="0" w:noVBand="1"/>
      </w:tblPr>
      <w:tblGrid>
        <w:gridCol w:w="1121"/>
        <w:gridCol w:w="67"/>
        <w:gridCol w:w="1316"/>
        <w:gridCol w:w="1881"/>
        <w:gridCol w:w="4120"/>
      </w:tblGrid>
      <w:tr w:rsidR="002409C2" w:rsidRPr="001F1BE9" w14:paraId="3D8BCCFE" w14:textId="77777777" w:rsidTr="00166BB8">
        <w:tc>
          <w:tcPr>
            <w:tcW w:w="1189" w:type="dxa"/>
            <w:gridSpan w:val="2"/>
            <w:shd w:val="clear" w:color="auto" w:fill="F2F2F2" w:themeFill="background1" w:themeFillShade="F2"/>
          </w:tcPr>
          <w:p w14:paraId="50FB9D38" w14:textId="77777777" w:rsidR="002409C2" w:rsidRPr="001F1BE9" w:rsidRDefault="002409C2"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hint="eastAsia"/>
                <w:color w:val="000000"/>
                <w:szCs w:val="21"/>
              </w:rPr>
              <w:t>N</w:t>
            </w:r>
            <w:r w:rsidRPr="001F1BE9">
              <w:rPr>
                <w:rFonts w:ascii="ＭＳ ゴシック" w:eastAsia="ＭＳ ゴシック" w:hAnsi="ＭＳ ゴシック" w:cs="MS-Gothic"/>
                <w:color w:val="000000"/>
                <w:szCs w:val="21"/>
              </w:rPr>
              <w:t>ame</w:t>
            </w:r>
          </w:p>
        </w:tc>
        <w:tc>
          <w:tcPr>
            <w:tcW w:w="1295" w:type="dxa"/>
            <w:shd w:val="clear" w:color="auto" w:fill="F2F2F2" w:themeFill="background1" w:themeFillShade="F2"/>
          </w:tcPr>
          <w:p w14:paraId="5FCB4934" w14:textId="77777777" w:rsidR="002409C2" w:rsidRPr="001F1BE9" w:rsidRDefault="002409C2"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hint="eastAsia"/>
                <w:color w:val="000000"/>
                <w:szCs w:val="21"/>
              </w:rPr>
              <w:t>R</w:t>
            </w:r>
            <w:r w:rsidRPr="001F1BE9">
              <w:rPr>
                <w:rFonts w:ascii="ＭＳ ゴシック" w:eastAsia="ＭＳ ゴシック" w:hAnsi="ＭＳ ゴシック" w:cs="MS-Gothic"/>
                <w:color w:val="000000"/>
                <w:szCs w:val="21"/>
              </w:rPr>
              <w:t>esidence</w:t>
            </w:r>
          </w:p>
        </w:tc>
        <w:tc>
          <w:tcPr>
            <w:tcW w:w="1884" w:type="dxa"/>
            <w:shd w:val="clear" w:color="auto" w:fill="F2F2F2" w:themeFill="background1" w:themeFillShade="F2"/>
          </w:tcPr>
          <w:p w14:paraId="14C44442" w14:textId="77777777" w:rsidR="002409C2" w:rsidRPr="001F1BE9" w:rsidRDefault="002409C2"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color w:val="000000"/>
                <w:szCs w:val="21"/>
              </w:rPr>
              <w:t>Affiliation</w:t>
            </w:r>
          </w:p>
        </w:tc>
        <w:tc>
          <w:tcPr>
            <w:tcW w:w="4137" w:type="dxa"/>
            <w:shd w:val="clear" w:color="auto" w:fill="F2F2F2" w:themeFill="background1" w:themeFillShade="F2"/>
          </w:tcPr>
          <w:p w14:paraId="487B4ED3" w14:textId="77777777" w:rsidR="002409C2" w:rsidRPr="001F1BE9" w:rsidRDefault="002409C2" w:rsidP="002C6DED">
            <w:pPr>
              <w:rPr>
                <w:rFonts w:ascii="ＭＳ ゴシック" w:eastAsia="ＭＳ ゴシック" w:hAnsi="ＭＳ ゴシック" w:cs="MS-Gothic"/>
                <w:color w:val="000000"/>
                <w:szCs w:val="21"/>
              </w:rPr>
            </w:pPr>
            <w:r w:rsidRPr="001F1BE9">
              <w:rPr>
                <w:rFonts w:ascii="ＭＳ ゴシック" w:eastAsia="ＭＳ ゴシック" w:hAnsi="ＭＳ ゴシック" w:cs="MS-Gothic" w:hint="eastAsia"/>
                <w:color w:val="000000"/>
                <w:szCs w:val="21"/>
              </w:rPr>
              <w:t>T</w:t>
            </w:r>
            <w:r w:rsidRPr="001F1BE9">
              <w:rPr>
                <w:rFonts w:ascii="ＭＳ ゴシック" w:eastAsia="ＭＳ ゴシック" w:hAnsi="ＭＳ ゴシック" w:cs="MS-Gothic"/>
                <w:color w:val="000000"/>
                <w:szCs w:val="21"/>
              </w:rPr>
              <w:t>itle of the paper</w:t>
            </w:r>
          </w:p>
        </w:tc>
      </w:tr>
      <w:tr w:rsidR="008966B8" w:rsidRPr="001F1BE9" w14:paraId="58178F9C" w14:textId="77777777" w:rsidTr="00166BB8">
        <w:tc>
          <w:tcPr>
            <w:tcW w:w="1189" w:type="dxa"/>
            <w:gridSpan w:val="2"/>
          </w:tcPr>
          <w:p w14:paraId="37440C08" w14:textId="60AB8431" w:rsidR="008966B8" w:rsidRPr="001F1BE9" w:rsidRDefault="008966B8" w:rsidP="008966B8">
            <w:pPr>
              <w:pStyle w:val="Default"/>
              <w:rPr>
                <w:rFonts w:ascii="ＭＳ ゴシック" w:eastAsia="ＭＳ ゴシック" w:hAnsi="ＭＳ ゴシック" w:cs="Arial"/>
                <w:color w:val="auto"/>
                <w:szCs w:val="21"/>
              </w:rPr>
            </w:pPr>
            <w:proofErr w:type="spellStart"/>
            <w:r w:rsidRPr="001F1BE9">
              <w:rPr>
                <w:rFonts w:ascii="ＭＳ ゴシック" w:eastAsia="ＭＳ ゴシック" w:hAnsi="ＭＳ ゴシック" w:cs="Arial"/>
                <w:sz w:val="20"/>
                <w:szCs w:val="20"/>
              </w:rPr>
              <w:t>Matthé</w:t>
            </w:r>
            <w:proofErr w:type="spellEnd"/>
            <w:r w:rsidRPr="001F1BE9">
              <w:rPr>
                <w:rFonts w:ascii="ＭＳ ゴシック" w:eastAsia="ＭＳ ゴシック" w:hAnsi="ＭＳ ゴシック" w:cs="Arial"/>
                <w:sz w:val="20"/>
                <w:szCs w:val="20"/>
              </w:rPr>
              <w:t xml:space="preserve"> Scholten</w:t>
            </w:r>
          </w:p>
        </w:tc>
        <w:tc>
          <w:tcPr>
            <w:tcW w:w="1295" w:type="dxa"/>
          </w:tcPr>
          <w:p w14:paraId="488E6DFD" w14:textId="05A2D9B9" w:rsidR="008966B8" w:rsidRPr="001F1BE9" w:rsidRDefault="008966B8" w:rsidP="008966B8">
            <w:pPr>
              <w:rPr>
                <w:rFonts w:ascii="ＭＳ ゴシック" w:eastAsia="ＭＳ ゴシック" w:hAnsi="ＭＳ ゴシック" w:cs="Arial"/>
                <w:color w:val="000000"/>
                <w:szCs w:val="21"/>
              </w:rPr>
            </w:pPr>
            <w:r w:rsidRPr="001F1BE9">
              <w:rPr>
                <w:rFonts w:ascii="ＭＳ ゴシック" w:eastAsia="ＭＳ ゴシック" w:hAnsi="ＭＳ ゴシック" w:cs="Arial"/>
                <w:color w:val="000000"/>
                <w:sz w:val="20"/>
                <w:szCs w:val="20"/>
              </w:rPr>
              <w:t>Netherlands and Germany</w:t>
            </w:r>
          </w:p>
        </w:tc>
        <w:tc>
          <w:tcPr>
            <w:tcW w:w="1884" w:type="dxa"/>
          </w:tcPr>
          <w:p w14:paraId="79BBC22F" w14:textId="5A9365FF" w:rsidR="008966B8" w:rsidRPr="001F1BE9" w:rsidRDefault="008966B8" w:rsidP="008966B8">
            <w:pPr>
              <w:rPr>
                <w:rFonts w:ascii="ＭＳ ゴシック" w:eastAsia="ＭＳ ゴシック" w:hAnsi="ＭＳ ゴシック" w:cs="Arial"/>
                <w:color w:val="000000"/>
                <w:szCs w:val="21"/>
              </w:rPr>
            </w:pPr>
            <w:r w:rsidRPr="001F1BE9">
              <w:rPr>
                <w:rFonts w:ascii="ＭＳ ゴシック" w:eastAsia="ＭＳ ゴシック" w:hAnsi="ＭＳ ゴシック" w:cs="Arial"/>
                <w:color w:val="000000"/>
                <w:sz w:val="20"/>
                <w:szCs w:val="20"/>
              </w:rPr>
              <w:t xml:space="preserve">Institute for Medical Ethics and History of Medicine, Ruhr University </w:t>
            </w:r>
            <w:proofErr w:type="spellStart"/>
            <w:r w:rsidRPr="001F1BE9">
              <w:rPr>
                <w:rFonts w:ascii="ＭＳ ゴシック" w:eastAsia="ＭＳ ゴシック" w:hAnsi="ＭＳ ゴシック" w:cs="Arial"/>
                <w:color w:val="000000"/>
                <w:sz w:val="20"/>
                <w:szCs w:val="20"/>
              </w:rPr>
              <w:t>Bochumn</w:t>
            </w:r>
            <w:proofErr w:type="spellEnd"/>
          </w:p>
        </w:tc>
        <w:tc>
          <w:tcPr>
            <w:tcW w:w="4137" w:type="dxa"/>
          </w:tcPr>
          <w:p w14:paraId="33156D86" w14:textId="514DC8CB" w:rsidR="008966B8" w:rsidRPr="001F1BE9" w:rsidRDefault="008966B8" w:rsidP="008966B8">
            <w:pPr>
              <w:rPr>
                <w:rFonts w:ascii="ＭＳ ゴシック" w:eastAsia="ＭＳ ゴシック" w:hAnsi="ＭＳ ゴシック" w:cs="Arial"/>
                <w:color w:val="000000"/>
                <w:szCs w:val="21"/>
              </w:rPr>
            </w:pPr>
            <w:r w:rsidRPr="001F1BE9">
              <w:rPr>
                <w:rFonts w:ascii="ＭＳ ゴシック" w:eastAsia="ＭＳ ゴシック" w:hAnsi="ＭＳ ゴシック" w:cs="Arial"/>
                <w:color w:val="000000"/>
                <w:sz w:val="20"/>
                <w:szCs w:val="20"/>
              </w:rPr>
              <w:t>Advance care planning in mental healthcare: Systematic reviews of the contents and service users’ attitudes towards psychiatric advance directives</w:t>
            </w:r>
            <w:r w:rsidRPr="001F1BE9">
              <w:rPr>
                <w:rFonts w:ascii="ＭＳ ゴシック" w:eastAsia="ＭＳ ゴシック" w:hAnsi="ＭＳ ゴシック" w:cs="Arial"/>
                <w:color w:val="000000"/>
                <w:szCs w:val="21"/>
              </w:rPr>
              <w:t xml:space="preserve"> </w:t>
            </w:r>
          </w:p>
        </w:tc>
      </w:tr>
      <w:tr w:rsidR="008966B8" w:rsidRPr="001F1BE9" w14:paraId="59BEED94" w14:textId="77777777" w:rsidTr="00166BB8">
        <w:trPr>
          <w:trHeight w:val="70"/>
        </w:trPr>
        <w:tc>
          <w:tcPr>
            <w:tcW w:w="1122" w:type="dxa"/>
            <w:shd w:val="pct5" w:color="auto" w:fill="auto"/>
          </w:tcPr>
          <w:p w14:paraId="7FB38181" w14:textId="77777777" w:rsidR="008966B8" w:rsidRPr="001F1BE9" w:rsidRDefault="008966B8" w:rsidP="008966B8">
            <w:pPr>
              <w:tabs>
                <w:tab w:val="right" w:pos="5812"/>
              </w:tabs>
              <w:rPr>
                <w:rFonts w:ascii="ＭＳ ゴシック" w:eastAsia="ＭＳ ゴシック" w:hAnsi="ＭＳ ゴシック"/>
                <w:color w:val="000000" w:themeColor="text1"/>
                <w:szCs w:val="21"/>
              </w:rPr>
            </w:pPr>
            <w:r w:rsidRPr="001F1BE9">
              <w:rPr>
                <w:rFonts w:ascii="ＭＳ ゴシック" w:eastAsia="ＭＳ ゴシック" w:hAnsi="ＭＳ ゴシック"/>
                <w:color w:val="000000" w:themeColor="text1"/>
                <w:szCs w:val="21"/>
              </w:rPr>
              <w:t>Abstract</w:t>
            </w:r>
          </w:p>
        </w:tc>
        <w:tc>
          <w:tcPr>
            <w:tcW w:w="7383" w:type="dxa"/>
            <w:gridSpan w:val="4"/>
          </w:tcPr>
          <w:p w14:paraId="4D223B2C" w14:textId="6342396E" w:rsidR="00135BCD" w:rsidRPr="001F1BE9" w:rsidRDefault="00135BCD" w:rsidP="00135BCD">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 xml:space="preserve">Objectives: Psychiatric advance directives (PADs) are documents that enable mental health service users to express their treatment preferences for future mental health crises. Completion rates for PADs remain low despite high rates of interest among service users and empirically confirmed benefits of their use. A systematic review of service users’ preferences regarding the content of PADs can be a valuable resource for clinicians and policy makers and help reduce barriers to PAD implementation. Consideration of the perspectives of service users on PADs and the factors that facilitate or hinder their creation and implementation can be helpful to increase the use and quality od PADs. </w:t>
            </w:r>
          </w:p>
          <w:p w14:paraId="3544F787" w14:textId="77777777" w:rsidR="00135BCD" w:rsidRPr="001F1BE9" w:rsidRDefault="00135BCD" w:rsidP="00135BCD">
            <w:pPr>
              <w:pStyle w:val="Default"/>
              <w:rPr>
                <w:rFonts w:ascii="ＭＳ ゴシック" w:eastAsia="ＭＳ ゴシック" w:hAnsi="ＭＳ ゴシック" w:cs="Arial"/>
                <w:color w:val="202024"/>
                <w:szCs w:val="21"/>
              </w:rPr>
            </w:pPr>
          </w:p>
          <w:p w14:paraId="31D8C924" w14:textId="77777777" w:rsidR="00135BCD" w:rsidRPr="001F1BE9" w:rsidRDefault="00135BCD" w:rsidP="00135BCD">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 xml:space="preserve">Methods: Two systematic reviews concordant with Preferred Reporting Items for Systematic Reviews and Meta-Analyses (PRISMA) guidelines was conducted. The databases CINAHL, Cochrane, EMBASE, PsycINFO, Medline, PubMed, SCOPUS and Web of Science were searched up to July </w:t>
            </w:r>
            <w:r w:rsidRPr="001F1BE9">
              <w:rPr>
                <w:rFonts w:ascii="ＭＳ ゴシック" w:eastAsia="ＭＳ ゴシック" w:hAnsi="ＭＳ ゴシック" w:cs="Arial"/>
                <w:color w:val="202024"/>
                <w:szCs w:val="21"/>
              </w:rPr>
              <w:lastRenderedPageBreak/>
              <w:t>2, 2021. The Mixed Methods Appraisal Tool (MMAT) was used to assess the methodological quality and the risk of bias of the included studies. Data were analyzed thematically, tabulated, and synthesized in a narrative fashion.</w:t>
            </w:r>
          </w:p>
          <w:p w14:paraId="64A92E69" w14:textId="77777777" w:rsidR="00135BCD" w:rsidRPr="001F1BE9" w:rsidRDefault="00135BCD" w:rsidP="00135BCD">
            <w:pPr>
              <w:pStyle w:val="Default"/>
              <w:rPr>
                <w:rFonts w:ascii="ＭＳ ゴシック" w:eastAsia="ＭＳ ゴシック" w:hAnsi="ＭＳ ゴシック" w:cs="Arial"/>
                <w:color w:val="202024"/>
                <w:szCs w:val="21"/>
              </w:rPr>
            </w:pPr>
          </w:p>
          <w:p w14:paraId="49666529" w14:textId="77777777" w:rsidR="00135BCD" w:rsidRPr="001F1BE9" w:rsidRDefault="00135BCD" w:rsidP="00135BCD">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Results: The search yielded 4047 articles. In the first review (on the content of PADs), 42 articles were eligible for inclusion. Six themes emerged, most of which included subthemes: 1.) signs of crisis, 2.) general treatment approach, 3.) preferences regarding the treatment setting, 4.) treatment preferences, 5.) coercion and 6.) social instructions. In the second review (on service users' attitudes toward PADs), 53 articles were included. The following categories were identified: general preferences regarding factors such as legal force and revocability; benefits of PADs on a personal, treatment-related and social level; challenges and barriers concerning the process of PAD creation and application; and possible and experienced facilitators of PAD creation.</w:t>
            </w:r>
          </w:p>
          <w:p w14:paraId="7843A8C3" w14:textId="77777777" w:rsidR="00135BCD" w:rsidRPr="001F1BE9" w:rsidRDefault="00135BCD" w:rsidP="00135BCD">
            <w:pPr>
              <w:pStyle w:val="Default"/>
              <w:rPr>
                <w:rFonts w:ascii="ＭＳ ゴシック" w:eastAsia="ＭＳ ゴシック" w:hAnsi="ＭＳ ゴシック" w:cs="Arial"/>
                <w:color w:val="202024"/>
                <w:szCs w:val="21"/>
              </w:rPr>
            </w:pPr>
          </w:p>
          <w:p w14:paraId="4D62936F" w14:textId="1C0FFDAA" w:rsidR="008966B8" w:rsidRPr="001F1BE9" w:rsidRDefault="00135BCD" w:rsidP="008966B8">
            <w:pPr>
              <w:pStyle w:val="Default"/>
              <w:rPr>
                <w:rFonts w:ascii="ＭＳ ゴシック" w:eastAsia="ＭＳ ゴシック" w:hAnsi="ＭＳ ゴシック" w:cs="Arial"/>
                <w:color w:val="202024"/>
                <w:szCs w:val="21"/>
              </w:rPr>
            </w:pPr>
            <w:r w:rsidRPr="001F1BE9">
              <w:rPr>
                <w:rFonts w:ascii="ＭＳ ゴシック" w:eastAsia="ＭＳ ゴシック" w:hAnsi="ＭＳ ゴシック" w:cs="Arial"/>
                <w:color w:val="202024"/>
                <w:szCs w:val="21"/>
              </w:rPr>
              <w:t>Conclusions: The concern that PADs may be unclear or incompatible with practice standards was not confirmed. Service users generally include clear, comprehensible and clinically relevant information in their PADs, often providing underlying reasons. Users are highly interested in PADs and regard them as tools to improve their involvement in their care. They generally preferred legally binding PADs that can be revoked only when users have mental capacity. Barriers reported by service users were mainly related to the creation and application of PADs, and support in the creation of PADs was the most important facilitator identified. The involvement of mental health professionals in creating PADs appears essential to realize the benefits of PADs and to reduce barriers.</w:t>
            </w:r>
          </w:p>
        </w:tc>
      </w:tr>
    </w:tbl>
    <w:p w14:paraId="560E9BB4" w14:textId="77777777" w:rsidR="003107DC" w:rsidRPr="001F1BE9" w:rsidRDefault="003107DC" w:rsidP="00812EC0">
      <w:pPr>
        <w:jc w:val="both"/>
        <w:rPr>
          <w:rFonts w:ascii="ＭＳ ゴシック" w:eastAsia="ＭＳ ゴシック" w:hAnsi="ＭＳ ゴシック" w:cs="Arial" w:hint="eastAsia"/>
          <w:color w:val="000000" w:themeColor="text1"/>
          <w:sz w:val="20"/>
          <w:szCs w:val="20"/>
        </w:rPr>
      </w:pPr>
    </w:p>
    <w:sectPr w:rsidR="003107DC" w:rsidRPr="001F1BE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BA46" w14:textId="77777777" w:rsidR="0097490B" w:rsidRDefault="0097490B" w:rsidP="002409C2">
      <w:r>
        <w:separator/>
      </w:r>
    </w:p>
  </w:endnote>
  <w:endnote w:type="continuationSeparator" w:id="0">
    <w:p w14:paraId="1BAF7373" w14:textId="77777777" w:rsidR="0097490B" w:rsidRDefault="0097490B" w:rsidP="0024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2FF" w:usb1="5000205B" w:usb2="0000002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Gothic">
    <w:altName w:val="游ゴシック"/>
    <w:panose1 w:val="020B0604020202020204"/>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ED21" w14:textId="77777777" w:rsidR="0097490B" w:rsidRDefault="0097490B" w:rsidP="002409C2">
      <w:r>
        <w:separator/>
      </w:r>
    </w:p>
  </w:footnote>
  <w:footnote w:type="continuationSeparator" w:id="0">
    <w:p w14:paraId="60904BDB" w14:textId="77777777" w:rsidR="0097490B" w:rsidRDefault="0097490B" w:rsidP="00240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509"/>
    <w:multiLevelType w:val="hybridMultilevel"/>
    <w:tmpl w:val="6E08A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5154"/>
    <w:multiLevelType w:val="hybridMultilevel"/>
    <w:tmpl w:val="83AA7B8E"/>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A71CE"/>
    <w:multiLevelType w:val="hybridMultilevel"/>
    <w:tmpl w:val="55A86FBA"/>
    <w:lvl w:ilvl="0" w:tplc="CAC09D28">
      <w:start w:val="1"/>
      <w:numFmt w:val="decimal"/>
      <w:lvlText w:val="%1."/>
      <w:lvlJc w:val="left"/>
      <w:pPr>
        <w:ind w:left="360" w:hanging="360"/>
      </w:pPr>
      <w:rPr>
        <w:rFonts w:hint="default"/>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E25"/>
    <w:multiLevelType w:val="hybridMultilevel"/>
    <w:tmpl w:val="5D5CFA66"/>
    <w:lvl w:ilvl="0" w:tplc="31B2D9E8">
      <w:start w:val="1"/>
      <w:numFmt w:val="decimal"/>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E71C9"/>
    <w:multiLevelType w:val="hybridMultilevel"/>
    <w:tmpl w:val="D47C2950"/>
    <w:lvl w:ilvl="0" w:tplc="37FE8E48">
      <w:start w:val="1"/>
      <w:numFmt w:val="non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426AA"/>
    <w:multiLevelType w:val="multilevel"/>
    <w:tmpl w:val="8E8E88F4"/>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10162BE"/>
    <w:multiLevelType w:val="hybridMultilevel"/>
    <w:tmpl w:val="CA42BF8A"/>
    <w:lvl w:ilvl="0" w:tplc="2542C2E4">
      <w:start w:val="1"/>
      <w:numFmt w:val="bullet"/>
      <w:lvlText w:val=""/>
      <w:lvlJc w:val="left"/>
      <w:pPr>
        <w:ind w:left="420" w:hanging="420"/>
      </w:pPr>
      <w:rPr>
        <w:rFonts w:ascii="Symbol" w:hAnsi="Symbol" w:hint="default"/>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9B327E"/>
    <w:multiLevelType w:val="hybridMultilevel"/>
    <w:tmpl w:val="8B8ABF40"/>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38501BF9"/>
    <w:multiLevelType w:val="hybridMultilevel"/>
    <w:tmpl w:val="A12EE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EA3BCC"/>
    <w:multiLevelType w:val="hybridMultilevel"/>
    <w:tmpl w:val="82C08E0A"/>
    <w:lvl w:ilvl="0" w:tplc="CAC09D28">
      <w:start w:val="1"/>
      <w:numFmt w:val="decimal"/>
      <w:lvlText w:val="%1."/>
      <w:lvlJc w:val="left"/>
      <w:pPr>
        <w:ind w:left="360" w:hanging="360"/>
      </w:pPr>
      <w:rPr>
        <w:rFonts w:hint="default"/>
      </w:rPr>
    </w:lvl>
    <w:lvl w:ilvl="1" w:tplc="31B2D9E8">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9D41C6"/>
    <w:multiLevelType w:val="hybridMultilevel"/>
    <w:tmpl w:val="3B3AAEF6"/>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F40A69"/>
    <w:multiLevelType w:val="hybridMultilevel"/>
    <w:tmpl w:val="3FAC02B4"/>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361C9A"/>
    <w:multiLevelType w:val="multilevel"/>
    <w:tmpl w:val="F7C292BA"/>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11D3B72"/>
    <w:multiLevelType w:val="hybridMultilevel"/>
    <w:tmpl w:val="83BEA760"/>
    <w:lvl w:ilvl="0" w:tplc="31B2D9E8">
      <w:start w:val="1"/>
      <w:numFmt w:val="decimal"/>
      <w:lvlText w:val="(%1)"/>
      <w:lvlJc w:val="left"/>
      <w:pPr>
        <w:ind w:left="420" w:hanging="420"/>
      </w:pPr>
      <w:rPr>
        <w:rFonts w:hint="eastAsia"/>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792555">
    <w:abstractNumId w:val="2"/>
  </w:num>
  <w:num w:numId="2" w16cid:durableId="619577445">
    <w:abstractNumId w:val="8"/>
  </w:num>
  <w:num w:numId="3" w16cid:durableId="1112671240">
    <w:abstractNumId w:val="12"/>
  </w:num>
  <w:num w:numId="4" w16cid:durableId="349917715">
    <w:abstractNumId w:val="0"/>
  </w:num>
  <w:num w:numId="5" w16cid:durableId="546382057">
    <w:abstractNumId w:val="11"/>
  </w:num>
  <w:num w:numId="6" w16cid:durableId="774330773">
    <w:abstractNumId w:val="10"/>
  </w:num>
  <w:num w:numId="7" w16cid:durableId="660501390">
    <w:abstractNumId w:val="13"/>
  </w:num>
  <w:num w:numId="8" w16cid:durableId="1836721679">
    <w:abstractNumId w:val="1"/>
  </w:num>
  <w:num w:numId="9" w16cid:durableId="2109039591">
    <w:abstractNumId w:val="6"/>
  </w:num>
  <w:num w:numId="10" w16cid:durableId="2121223071">
    <w:abstractNumId w:val="4"/>
  </w:num>
  <w:num w:numId="11" w16cid:durableId="1405030422">
    <w:abstractNumId w:val="3"/>
  </w:num>
  <w:num w:numId="12" w16cid:durableId="951204692">
    <w:abstractNumId w:val="5"/>
  </w:num>
  <w:num w:numId="13" w16cid:durableId="1953438569">
    <w:abstractNumId w:val="14"/>
  </w:num>
  <w:num w:numId="14" w16cid:durableId="2103136242">
    <w:abstractNumId w:val="15"/>
  </w:num>
  <w:num w:numId="15" w16cid:durableId="1646735359">
    <w:abstractNumId w:val="9"/>
  </w:num>
  <w:num w:numId="16" w16cid:durableId="1019044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0B"/>
    <w:rsid w:val="0000469D"/>
    <w:rsid w:val="00005948"/>
    <w:rsid w:val="00011EA2"/>
    <w:rsid w:val="00016DD9"/>
    <w:rsid w:val="00024EC3"/>
    <w:rsid w:val="00025D5F"/>
    <w:rsid w:val="000516F2"/>
    <w:rsid w:val="00073F25"/>
    <w:rsid w:val="00082053"/>
    <w:rsid w:val="000A0FBE"/>
    <w:rsid w:val="000D1300"/>
    <w:rsid w:val="000E2666"/>
    <w:rsid w:val="000E3A3C"/>
    <w:rsid w:val="000E3C71"/>
    <w:rsid w:val="000F3598"/>
    <w:rsid w:val="001022CB"/>
    <w:rsid w:val="00106048"/>
    <w:rsid w:val="00115DD8"/>
    <w:rsid w:val="00126AC1"/>
    <w:rsid w:val="00135BCD"/>
    <w:rsid w:val="00165A6C"/>
    <w:rsid w:val="00166BB8"/>
    <w:rsid w:val="001A7956"/>
    <w:rsid w:val="001D30E8"/>
    <w:rsid w:val="001E22E5"/>
    <w:rsid w:val="001F184B"/>
    <w:rsid w:val="001F1BE9"/>
    <w:rsid w:val="0020134C"/>
    <w:rsid w:val="00203D9C"/>
    <w:rsid w:val="002073DB"/>
    <w:rsid w:val="0021140B"/>
    <w:rsid w:val="00217E59"/>
    <w:rsid w:val="002254AA"/>
    <w:rsid w:val="002409C2"/>
    <w:rsid w:val="002667F3"/>
    <w:rsid w:val="002B01A1"/>
    <w:rsid w:val="002C264C"/>
    <w:rsid w:val="002E0C04"/>
    <w:rsid w:val="002E769C"/>
    <w:rsid w:val="002F2269"/>
    <w:rsid w:val="002F6510"/>
    <w:rsid w:val="003107DC"/>
    <w:rsid w:val="00315E2E"/>
    <w:rsid w:val="00320691"/>
    <w:rsid w:val="00343B23"/>
    <w:rsid w:val="00346916"/>
    <w:rsid w:val="00347217"/>
    <w:rsid w:val="003818F9"/>
    <w:rsid w:val="003949F0"/>
    <w:rsid w:val="003A1DAC"/>
    <w:rsid w:val="003E2D32"/>
    <w:rsid w:val="00423474"/>
    <w:rsid w:val="00432380"/>
    <w:rsid w:val="0043748F"/>
    <w:rsid w:val="004423D1"/>
    <w:rsid w:val="00447F2B"/>
    <w:rsid w:val="00453407"/>
    <w:rsid w:val="00455DFB"/>
    <w:rsid w:val="00492979"/>
    <w:rsid w:val="004941DD"/>
    <w:rsid w:val="00494B92"/>
    <w:rsid w:val="004E122E"/>
    <w:rsid w:val="004F0908"/>
    <w:rsid w:val="004F74E4"/>
    <w:rsid w:val="00520402"/>
    <w:rsid w:val="005407F5"/>
    <w:rsid w:val="00543F44"/>
    <w:rsid w:val="00566A58"/>
    <w:rsid w:val="005758AB"/>
    <w:rsid w:val="005A0127"/>
    <w:rsid w:val="005A10A4"/>
    <w:rsid w:val="005C2101"/>
    <w:rsid w:val="005D78BA"/>
    <w:rsid w:val="005E70B1"/>
    <w:rsid w:val="005F097B"/>
    <w:rsid w:val="005F5D95"/>
    <w:rsid w:val="00606EC5"/>
    <w:rsid w:val="0061079E"/>
    <w:rsid w:val="00614977"/>
    <w:rsid w:val="0061624D"/>
    <w:rsid w:val="00623EB9"/>
    <w:rsid w:val="00633350"/>
    <w:rsid w:val="00675F72"/>
    <w:rsid w:val="00683483"/>
    <w:rsid w:val="00694452"/>
    <w:rsid w:val="006955EE"/>
    <w:rsid w:val="006A5E35"/>
    <w:rsid w:val="006B0C09"/>
    <w:rsid w:val="006B2A5A"/>
    <w:rsid w:val="006C4572"/>
    <w:rsid w:val="006D3948"/>
    <w:rsid w:val="0073333B"/>
    <w:rsid w:val="0073747B"/>
    <w:rsid w:val="00753A02"/>
    <w:rsid w:val="00763694"/>
    <w:rsid w:val="00765A5E"/>
    <w:rsid w:val="00782ADE"/>
    <w:rsid w:val="0078327D"/>
    <w:rsid w:val="007B445E"/>
    <w:rsid w:val="007B67BA"/>
    <w:rsid w:val="007D4775"/>
    <w:rsid w:val="007D71AF"/>
    <w:rsid w:val="007F5656"/>
    <w:rsid w:val="00812EC0"/>
    <w:rsid w:val="008246A1"/>
    <w:rsid w:val="00827CBD"/>
    <w:rsid w:val="00833DDB"/>
    <w:rsid w:val="00861DD0"/>
    <w:rsid w:val="0088472C"/>
    <w:rsid w:val="008966B8"/>
    <w:rsid w:val="008B1262"/>
    <w:rsid w:val="008B1CF7"/>
    <w:rsid w:val="008C696C"/>
    <w:rsid w:val="008F1364"/>
    <w:rsid w:val="00931E7C"/>
    <w:rsid w:val="00950B9A"/>
    <w:rsid w:val="00962AD3"/>
    <w:rsid w:val="0097490B"/>
    <w:rsid w:val="009A30C2"/>
    <w:rsid w:val="009B2068"/>
    <w:rsid w:val="009C5E9D"/>
    <w:rsid w:val="009D6ED1"/>
    <w:rsid w:val="009E3885"/>
    <w:rsid w:val="009F009B"/>
    <w:rsid w:val="00A12DAC"/>
    <w:rsid w:val="00A13B65"/>
    <w:rsid w:val="00A22852"/>
    <w:rsid w:val="00A229D1"/>
    <w:rsid w:val="00A23F9E"/>
    <w:rsid w:val="00A53C1A"/>
    <w:rsid w:val="00A6138B"/>
    <w:rsid w:val="00A6476B"/>
    <w:rsid w:val="00A75871"/>
    <w:rsid w:val="00A8781F"/>
    <w:rsid w:val="00A879EA"/>
    <w:rsid w:val="00AE4B34"/>
    <w:rsid w:val="00AF1214"/>
    <w:rsid w:val="00B02B7F"/>
    <w:rsid w:val="00B47765"/>
    <w:rsid w:val="00B61265"/>
    <w:rsid w:val="00B70136"/>
    <w:rsid w:val="00B920ED"/>
    <w:rsid w:val="00B92FDE"/>
    <w:rsid w:val="00BB010B"/>
    <w:rsid w:val="00BC5061"/>
    <w:rsid w:val="00BE748D"/>
    <w:rsid w:val="00C07ED4"/>
    <w:rsid w:val="00C226F5"/>
    <w:rsid w:val="00C2529B"/>
    <w:rsid w:val="00C41EFA"/>
    <w:rsid w:val="00C458F0"/>
    <w:rsid w:val="00C51A82"/>
    <w:rsid w:val="00C67F16"/>
    <w:rsid w:val="00CB1145"/>
    <w:rsid w:val="00CB1361"/>
    <w:rsid w:val="00CB1F34"/>
    <w:rsid w:val="00CD13BF"/>
    <w:rsid w:val="00CD6824"/>
    <w:rsid w:val="00CF1A76"/>
    <w:rsid w:val="00D26E5F"/>
    <w:rsid w:val="00D3721C"/>
    <w:rsid w:val="00D37946"/>
    <w:rsid w:val="00D825AD"/>
    <w:rsid w:val="00D94B3C"/>
    <w:rsid w:val="00DA4B9C"/>
    <w:rsid w:val="00DB2272"/>
    <w:rsid w:val="00DC15D6"/>
    <w:rsid w:val="00E0744A"/>
    <w:rsid w:val="00E90BB7"/>
    <w:rsid w:val="00EA3597"/>
    <w:rsid w:val="00EB22D2"/>
    <w:rsid w:val="00EE62B3"/>
    <w:rsid w:val="00EF56CE"/>
    <w:rsid w:val="00F01C6F"/>
    <w:rsid w:val="00F10051"/>
    <w:rsid w:val="00F46D60"/>
    <w:rsid w:val="00F53DBE"/>
    <w:rsid w:val="00F57CF5"/>
    <w:rsid w:val="00F652E2"/>
    <w:rsid w:val="00F7659D"/>
    <w:rsid w:val="00F92099"/>
    <w:rsid w:val="00F96901"/>
    <w:rsid w:val="00FD4248"/>
    <w:rsid w:val="00FE15D2"/>
    <w:rsid w:val="00FF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C57CE8"/>
  <w14:defaultImageDpi w14:val="300"/>
  <w15:docId w15:val="{E89F3C5E-04FE-0E4E-B48D-5367E82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6"/>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1140B"/>
  </w:style>
  <w:style w:type="paragraph" w:styleId="a3">
    <w:name w:val="List Paragraph"/>
    <w:basedOn w:val="a"/>
    <w:uiPriority w:val="34"/>
    <w:qFormat/>
    <w:rsid w:val="00492979"/>
    <w:pPr>
      <w:widowControl w:val="0"/>
      <w:ind w:leftChars="400" w:left="960"/>
      <w:jc w:val="both"/>
    </w:pPr>
    <w:rPr>
      <w:rFonts w:asciiTheme="minorHAnsi" w:eastAsiaTheme="minorEastAsia" w:hAnsiTheme="minorHAnsi" w:cstheme="minorBidi"/>
      <w:kern w:val="2"/>
    </w:rPr>
  </w:style>
  <w:style w:type="paragraph" w:styleId="Web">
    <w:name w:val="Normal (Web)"/>
    <w:basedOn w:val="a"/>
    <w:uiPriority w:val="99"/>
    <w:semiHidden/>
    <w:unhideWhenUsed/>
    <w:rsid w:val="003A1DAC"/>
    <w:pPr>
      <w:spacing w:before="100" w:beforeAutospacing="1" w:after="100" w:afterAutospacing="1"/>
    </w:pPr>
  </w:style>
  <w:style w:type="character" w:styleId="a4">
    <w:name w:val="Strong"/>
    <w:basedOn w:val="a0"/>
    <w:uiPriority w:val="22"/>
    <w:qFormat/>
    <w:rsid w:val="003A1DAC"/>
    <w:rPr>
      <w:b/>
      <w:bCs/>
    </w:rPr>
  </w:style>
  <w:style w:type="character" w:customStyle="1" w:styleId="apple-converted-space">
    <w:name w:val="apple-converted-space"/>
    <w:basedOn w:val="a0"/>
    <w:rsid w:val="003A1DAC"/>
  </w:style>
  <w:style w:type="character" w:styleId="a5">
    <w:name w:val="Hyperlink"/>
    <w:basedOn w:val="a0"/>
    <w:uiPriority w:val="99"/>
    <w:unhideWhenUsed/>
    <w:rsid w:val="003A1DAC"/>
    <w:rPr>
      <w:color w:val="0563C1" w:themeColor="hyperlink"/>
      <w:u w:val="single"/>
    </w:rPr>
  </w:style>
  <w:style w:type="character" w:customStyle="1" w:styleId="1">
    <w:name w:val="未解決のメンション1"/>
    <w:basedOn w:val="a0"/>
    <w:uiPriority w:val="99"/>
    <w:semiHidden/>
    <w:unhideWhenUsed/>
    <w:rsid w:val="003A1DAC"/>
    <w:rPr>
      <w:color w:val="605E5C"/>
      <w:shd w:val="clear" w:color="auto" w:fill="E1DFDD"/>
    </w:rPr>
  </w:style>
  <w:style w:type="character" w:styleId="a6">
    <w:name w:val="FollowedHyperlink"/>
    <w:basedOn w:val="a0"/>
    <w:uiPriority w:val="99"/>
    <w:semiHidden/>
    <w:unhideWhenUsed/>
    <w:rsid w:val="002254AA"/>
    <w:rPr>
      <w:color w:val="954F72" w:themeColor="followedHyperlink"/>
      <w:u w:val="single"/>
    </w:rPr>
  </w:style>
  <w:style w:type="character" w:styleId="a7">
    <w:name w:val="annotation reference"/>
    <w:basedOn w:val="a0"/>
    <w:uiPriority w:val="99"/>
    <w:semiHidden/>
    <w:unhideWhenUsed/>
    <w:rsid w:val="004F0908"/>
    <w:rPr>
      <w:sz w:val="18"/>
      <w:szCs w:val="18"/>
    </w:rPr>
  </w:style>
  <w:style w:type="paragraph" w:styleId="a8">
    <w:name w:val="annotation text"/>
    <w:basedOn w:val="a"/>
    <w:link w:val="a9"/>
    <w:uiPriority w:val="99"/>
    <w:unhideWhenUsed/>
    <w:rsid w:val="004F0908"/>
  </w:style>
  <w:style w:type="character" w:customStyle="1" w:styleId="a9">
    <w:name w:val="コメント文字列 (文字)"/>
    <w:basedOn w:val="a0"/>
    <w:link w:val="a8"/>
    <w:uiPriority w:val="99"/>
    <w:rsid w:val="004F0908"/>
    <w:rPr>
      <w:rFonts w:ascii="ＭＳ Ｐゴシック" w:eastAsia="ＭＳ Ｐゴシック" w:hAnsi="ＭＳ Ｐゴシック" w:cs="ＭＳ Ｐゴシック"/>
      <w:kern w:val="0"/>
    </w:rPr>
  </w:style>
  <w:style w:type="paragraph" w:styleId="aa">
    <w:name w:val="annotation subject"/>
    <w:basedOn w:val="a8"/>
    <w:next w:val="a8"/>
    <w:link w:val="ab"/>
    <w:uiPriority w:val="99"/>
    <w:semiHidden/>
    <w:unhideWhenUsed/>
    <w:rsid w:val="004F0908"/>
    <w:rPr>
      <w:b/>
      <w:bCs/>
    </w:rPr>
  </w:style>
  <w:style w:type="character" w:customStyle="1" w:styleId="ab">
    <w:name w:val="コメント内容 (文字)"/>
    <w:basedOn w:val="a9"/>
    <w:link w:val="aa"/>
    <w:uiPriority w:val="99"/>
    <w:semiHidden/>
    <w:rsid w:val="004F0908"/>
    <w:rPr>
      <w:rFonts w:ascii="ＭＳ Ｐゴシック" w:eastAsia="ＭＳ Ｐゴシック" w:hAnsi="ＭＳ Ｐゴシック" w:cs="ＭＳ Ｐゴシック"/>
      <w:b/>
      <w:bCs/>
      <w:kern w:val="0"/>
    </w:rPr>
  </w:style>
  <w:style w:type="paragraph" w:styleId="ac">
    <w:name w:val="Balloon Text"/>
    <w:basedOn w:val="a"/>
    <w:link w:val="ad"/>
    <w:uiPriority w:val="99"/>
    <w:semiHidden/>
    <w:unhideWhenUsed/>
    <w:rsid w:val="004F09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0908"/>
    <w:rPr>
      <w:rFonts w:asciiTheme="majorHAnsi" w:eastAsiaTheme="majorEastAsia" w:hAnsiTheme="majorHAnsi" w:cstheme="majorBidi"/>
      <w:kern w:val="0"/>
      <w:sz w:val="18"/>
      <w:szCs w:val="18"/>
    </w:rPr>
  </w:style>
  <w:style w:type="paragraph" w:styleId="ae">
    <w:name w:val="Revision"/>
    <w:hidden/>
    <w:uiPriority w:val="99"/>
    <w:semiHidden/>
    <w:rsid w:val="00D26E5F"/>
    <w:rPr>
      <w:rFonts w:ascii="ＭＳ Ｐゴシック" w:eastAsia="ＭＳ Ｐゴシック" w:hAnsi="ＭＳ Ｐゴシック" w:cs="ＭＳ Ｐゴシック"/>
      <w:kern w:val="0"/>
    </w:rPr>
  </w:style>
  <w:style w:type="table" w:styleId="af">
    <w:name w:val="Table Grid"/>
    <w:basedOn w:val="a1"/>
    <w:uiPriority w:val="39"/>
    <w:rsid w:val="00B7013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2409C2"/>
    <w:pPr>
      <w:tabs>
        <w:tab w:val="center" w:pos="4252"/>
        <w:tab w:val="right" w:pos="8504"/>
      </w:tabs>
      <w:snapToGrid w:val="0"/>
    </w:pPr>
  </w:style>
  <w:style w:type="character" w:customStyle="1" w:styleId="af1">
    <w:name w:val="フッター (文字)"/>
    <w:basedOn w:val="a0"/>
    <w:link w:val="af0"/>
    <w:uiPriority w:val="99"/>
    <w:rsid w:val="002409C2"/>
    <w:rPr>
      <w:rFonts w:ascii="ＭＳ Ｐゴシック" w:eastAsia="ＭＳ Ｐゴシック" w:hAnsi="ＭＳ Ｐゴシック" w:cs="ＭＳ Ｐゴシック"/>
      <w:kern w:val="0"/>
    </w:rPr>
  </w:style>
  <w:style w:type="character" w:styleId="af2">
    <w:name w:val="page number"/>
    <w:basedOn w:val="a0"/>
    <w:uiPriority w:val="99"/>
    <w:semiHidden/>
    <w:unhideWhenUsed/>
    <w:rsid w:val="002409C2"/>
  </w:style>
  <w:style w:type="paragraph" w:styleId="af3">
    <w:name w:val="header"/>
    <w:basedOn w:val="a"/>
    <w:link w:val="af4"/>
    <w:uiPriority w:val="99"/>
    <w:unhideWhenUsed/>
    <w:rsid w:val="00F652E2"/>
    <w:pPr>
      <w:tabs>
        <w:tab w:val="center" w:pos="4252"/>
        <w:tab w:val="right" w:pos="8504"/>
      </w:tabs>
      <w:snapToGrid w:val="0"/>
    </w:pPr>
  </w:style>
  <w:style w:type="character" w:customStyle="1" w:styleId="af4">
    <w:name w:val="ヘッダー (文字)"/>
    <w:basedOn w:val="a0"/>
    <w:link w:val="af3"/>
    <w:uiPriority w:val="99"/>
    <w:rsid w:val="00F652E2"/>
    <w:rPr>
      <w:rFonts w:ascii="ＭＳ Ｐゴシック" w:eastAsia="ＭＳ Ｐゴシック" w:hAnsi="ＭＳ Ｐゴシック" w:cs="ＭＳ Ｐゴシック"/>
      <w:kern w:val="0"/>
    </w:rPr>
  </w:style>
  <w:style w:type="paragraph" w:customStyle="1" w:styleId="Default">
    <w:name w:val="Default"/>
    <w:rsid w:val="00B02B7F"/>
    <w:pPr>
      <w:widowControl w:val="0"/>
      <w:autoSpaceDE w:val="0"/>
      <w:autoSpaceDN w:val="0"/>
      <w:adjustRightInd w:val="0"/>
    </w:pPr>
    <w:rPr>
      <w:rFonts w:ascii="Roboto" w:hAnsi="Roboto" w:cs="Roboto"/>
      <w:color w:val="000000"/>
      <w:kern w:val="0"/>
    </w:rPr>
  </w:style>
  <w:style w:type="character" w:styleId="af5">
    <w:name w:val="Unresolved Mention"/>
    <w:basedOn w:val="a0"/>
    <w:uiPriority w:val="99"/>
    <w:semiHidden/>
    <w:unhideWhenUsed/>
    <w:rsid w:val="00A61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9609">
      <w:bodyDiv w:val="1"/>
      <w:marLeft w:val="0"/>
      <w:marRight w:val="0"/>
      <w:marTop w:val="0"/>
      <w:marBottom w:val="0"/>
      <w:divBdr>
        <w:top w:val="none" w:sz="0" w:space="0" w:color="auto"/>
        <w:left w:val="none" w:sz="0" w:space="0" w:color="auto"/>
        <w:bottom w:val="none" w:sz="0" w:space="0" w:color="auto"/>
        <w:right w:val="none" w:sz="0" w:space="0" w:color="auto"/>
      </w:divBdr>
    </w:div>
    <w:div w:id="687876089">
      <w:bodyDiv w:val="1"/>
      <w:marLeft w:val="0"/>
      <w:marRight w:val="0"/>
      <w:marTop w:val="0"/>
      <w:marBottom w:val="0"/>
      <w:divBdr>
        <w:top w:val="none" w:sz="0" w:space="0" w:color="auto"/>
        <w:left w:val="none" w:sz="0" w:space="0" w:color="auto"/>
        <w:bottom w:val="none" w:sz="0" w:space="0" w:color="auto"/>
        <w:right w:val="none" w:sz="0" w:space="0" w:color="auto"/>
      </w:divBdr>
    </w:div>
    <w:div w:id="967779468">
      <w:bodyDiv w:val="1"/>
      <w:marLeft w:val="0"/>
      <w:marRight w:val="0"/>
      <w:marTop w:val="0"/>
      <w:marBottom w:val="0"/>
      <w:divBdr>
        <w:top w:val="none" w:sz="0" w:space="0" w:color="auto"/>
        <w:left w:val="none" w:sz="0" w:space="0" w:color="auto"/>
        <w:bottom w:val="none" w:sz="0" w:space="0" w:color="auto"/>
        <w:right w:val="none" w:sz="0" w:space="0" w:color="auto"/>
      </w:divBdr>
    </w:div>
    <w:div w:id="1015839530">
      <w:bodyDiv w:val="1"/>
      <w:marLeft w:val="0"/>
      <w:marRight w:val="0"/>
      <w:marTop w:val="0"/>
      <w:marBottom w:val="0"/>
      <w:divBdr>
        <w:top w:val="none" w:sz="0" w:space="0" w:color="auto"/>
        <w:left w:val="none" w:sz="0" w:space="0" w:color="auto"/>
        <w:bottom w:val="none" w:sz="0" w:space="0" w:color="auto"/>
        <w:right w:val="none" w:sz="0" w:space="0" w:color="auto"/>
      </w:divBdr>
    </w:div>
    <w:div w:id="1119180666">
      <w:bodyDiv w:val="1"/>
      <w:marLeft w:val="0"/>
      <w:marRight w:val="0"/>
      <w:marTop w:val="0"/>
      <w:marBottom w:val="0"/>
      <w:divBdr>
        <w:top w:val="none" w:sz="0" w:space="0" w:color="auto"/>
        <w:left w:val="none" w:sz="0" w:space="0" w:color="auto"/>
        <w:bottom w:val="none" w:sz="0" w:space="0" w:color="auto"/>
        <w:right w:val="none" w:sz="0" w:space="0" w:color="auto"/>
      </w:divBdr>
    </w:div>
    <w:div w:id="1150293050">
      <w:bodyDiv w:val="1"/>
      <w:marLeft w:val="0"/>
      <w:marRight w:val="0"/>
      <w:marTop w:val="0"/>
      <w:marBottom w:val="0"/>
      <w:divBdr>
        <w:top w:val="none" w:sz="0" w:space="0" w:color="auto"/>
        <w:left w:val="none" w:sz="0" w:space="0" w:color="auto"/>
        <w:bottom w:val="none" w:sz="0" w:space="0" w:color="auto"/>
        <w:right w:val="none" w:sz="0" w:space="0" w:color="auto"/>
      </w:divBdr>
    </w:div>
    <w:div w:id="1240212711">
      <w:bodyDiv w:val="1"/>
      <w:marLeft w:val="0"/>
      <w:marRight w:val="0"/>
      <w:marTop w:val="0"/>
      <w:marBottom w:val="0"/>
      <w:divBdr>
        <w:top w:val="none" w:sz="0" w:space="0" w:color="auto"/>
        <w:left w:val="none" w:sz="0" w:space="0" w:color="auto"/>
        <w:bottom w:val="none" w:sz="0" w:space="0" w:color="auto"/>
        <w:right w:val="none" w:sz="0" w:space="0" w:color="auto"/>
      </w:divBdr>
      <w:divsChild>
        <w:div w:id="1224105095">
          <w:marLeft w:val="0"/>
          <w:marRight w:val="0"/>
          <w:marTop w:val="0"/>
          <w:marBottom w:val="0"/>
          <w:divBdr>
            <w:top w:val="none" w:sz="0" w:space="0" w:color="auto"/>
            <w:left w:val="none" w:sz="0" w:space="0" w:color="auto"/>
            <w:bottom w:val="none" w:sz="0" w:space="0" w:color="auto"/>
            <w:right w:val="none" w:sz="0" w:space="0" w:color="auto"/>
          </w:divBdr>
          <w:divsChild>
            <w:div w:id="35931790">
              <w:marLeft w:val="0"/>
              <w:marRight w:val="0"/>
              <w:marTop w:val="0"/>
              <w:marBottom w:val="0"/>
              <w:divBdr>
                <w:top w:val="none" w:sz="0" w:space="0" w:color="auto"/>
                <w:left w:val="none" w:sz="0" w:space="0" w:color="auto"/>
                <w:bottom w:val="none" w:sz="0" w:space="0" w:color="auto"/>
                <w:right w:val="none" w:sz="0" w:space="0" w:color="auto"/>
              </w:divBdr>
              <w:divsChild>
                <w:div w:id="1496842622">
                  <w:marLeft w:val="0"/>
                  <w:marRight w:val="0"/>
                  <w:marTop w:val="0"/>
                  <w:marBottom w:val="0"/>
                  <w:divBdr>
                    <w:top w:val="none" w:sz="0" w:space="0" w:color="auto"/>
                    <w:left w:val="none" w:sz="0" w:space="0" w:color="auto"/>
                    <w:bottom w:val="none" w:sz="0" w:space="0" w:color="auto"/>
                    <w:right w:val="none" w:sz="0" w:space="0" w:color="auto"/>
                  </w:divBdr>
                </w:div>
                <w:div w:id="900867427">
                  <w:marLeft w:val="0"/>
                  <w:marRight w:val="0"/>
                  <w:marTop w:val="0"/>
                  <w:marBottom w:val="0"/>
                  <w:divBdr>
                    <w:top w:val="none" w:sz="0" w:space="0" w:color="auto"/>
                    <w:left w:val="none" w:sz="0" w:space="0" w:color="auto"/>
                    <w:bottom w:val="none" w:sz="0" w:space="0" w:color="auto"/>
                    <w:right w:val="none" w:sz="0" w:space="0" w:color="auto"/>
                  </w:divBdr>
                </w:div>
                <w:div w:id="1196233640">
                  <w:marLeft w:val="0"/>
                  <w:marRight w:val="0"/>
                  <w:marTop w:val="0"/>
                  <w:marBottom w:val="0"/>
                  <w:divBdr>
                    <w:top w:val="none" w:sz="0" w:space="0" w:color="auto"/>
                    <w:left w:val="none" w:sz="0" w:space="0" w:color="auto"/>
                    <w:bottom w:val="none" w:sz="0" w:space="0" w:color="auto"/>
                    <w:right w:val="none" w:sz="0" w:space="0" w:color="auto"/>
                  </w:divBdr>
                </w:div>
                <w:div w:id="768432204">
                  <w:marLeft w:val="0"/>
                  <w:marRight w:val="0"/>
                  <w:marTop w:val="0"/>
                  <w:marBottom w:val="0"/>
                  <w:divBdr>
                    <w:top w:val="none" w:sz="0" w:space="0" w:color="auto"/>
                    <w:left w:val="none" w:sz="0" w:space="0" w:color="auto"/>
                    <w:bottom w:val="none" w:sz="0" w:space="0" w:color="auto"/>
                    <w:right w:val="none" w:sz="0" w:space="0" w:color="auto"/>
                  </w:divBdr>
                </w:div>
                <w:div w:id="97482770">
                  <w:marLeft w:val="0"/>
                  <w:marRight w:val="0"/>
                  <w:marTop w:val="0"/>
                  <w:marBottom w:val="0"/>
                  <w:divBdr>
                    <w:top w:val="none" w:sz="0" w:space="0" w:color="auto"/>
                    <w:left w:val="none" w:sz="0" w:space="0" w:color="auto"/>
                    <w:bottom w:val="none" w:sz="0" w:space="0" w:color="auto"/>
                    <w:right w:val="none" w:sz="0" w:space="0" w:color="auto"/>
                  </w:divBdr>
                </w:div>
                <w:div w:id="1878851716">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464496784">
                  <w:marLeft w:val="0"/>
                  <w:marRight w:val="0"/>
                  <w:marTop w:val="0"/>
                  <w:marBottom w:val="0"/>
                  <w:divBdr>
                    <w:top w:val="none" w:sz="0" w:space="0" w:color="auto"/>
                    <w:left w:val="none" w:sz="0" w:space="0" w:color="auto"/>
                    <w:bottom w:val="none" w:sz="0" w:space="0" w:color="auto"/>
                    <w:right w:val="none" w:sz="0" w:space="0" w:color="auto"/>
                  </w:divBdr>
                </w:div>
                <w:div w:id="536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866">
      <w:bodyDiv w:val="1"/>
      <w:marLeft w:val="0"/>
      <w:marRight w:val="0"/>
      <w:marTop w:val="0"/>
      <w:marBottom w:val="0"/>
      <w:divBdr>
        <w:top w:val="none" w:sz="0" w:space="0" w:color="auto"/>
        <w:left w:val="none" w:sz="0" w:space="0" w:color="auto"/>
        <w:bottom w:val="none" w:sz="0" w:space="0" w:color="auto"/>
        <w:right w:val="none" w:sz="0" w:space="0" w:color="auto"/>
      </w:divBdr>
      <w:divsChild>
        <w:div w:id="1338072086">
          <w:marLeft w:val="0"/>
          <w:marRight w:val="0"/>
          <w:marTop w:val="0"/>
          <w:marBottom w:val="0"/>
          <w:divBdr>
            <w:top w:val="none" w:sz="0" w:space="0" w:color="auto"/>
            <w:left w:val="none" w:sz="0" w:space="0" w:color="auto"/>
            <w:bottom w:val="none" w:sz="0" w:space="0" w:color="auto"/>
            <w:right w:val="none" w:sz="0" w:space="0" w:color="auto"/>
          </w:divBdr>
          <w:divsChild>
            <w:div w:id="1408069992">
              <w:marLeft w:val="0"/>
              <w:marRight w:val="0"/>
              <w:marTop w:val="0"/>
              <w:marBottom w:val="0"/>
              <w:divBdr>
                <w:top w:val="none" w:sz="0" w:space="0" w:color="auto"/>
                <w:left w:val="none" w:sz="0" w:space="0" w:color="auto"/>
                <w:bottom w:val="none" w:sz="0" w:space="0" w:color="auto"/>
                <w:right w:val="none" w:sz="0" w:space="0" w:color="auto"/>
              </w:divBdr>
              <w:divsChild>
                <w:div w:id="1072656014">
                  <w:marLeft w:val="0"/>
                  <w:marRight w:val="0"/>
                  <w:marTop w:val="0"/>
                  <w:marBottom w:val="0"/>
                  <w:divBdr>
                    <w:top w:val="none" w:sz="0" w:space="0" w:color="auto"/>
                    <w:left w:val="none" w:sz="0" w:space="0" w:color="auto"/>
                    <w:bottom w:val="none" w:sz="0" w:space="0" w:color="auto"/>
                    <w:right w:val="none" w:sz="0" w:space="0" w:color="auto"/>
                  </w:divBdr>
                  <w:divsChild>
                    <w:div w:id="2068449752">
                      <w:marLeft w:val="0"/>
                      <w:marRight w:val="0"/>
                      <w:marTop w:val="0"/>
                      <w:marBottom w:val="0"/>
                      <w:divBdr>
                        <w:top w:val="none" w:sz="0" w:space="0" w:color="auto"/>
                        <w:left w:val="none" w:sz="0" w:space="0" w:color="auto"/>
                        <w:bottom w:val="none" w:sz="0" w:space="0" w:color="auto"/>
                        <w:right w:val="none" w:sz="0" w:space="0" w:color="auto"/>
                      </w:divBdr>
                      <w:divsChild>
                        <w:div w:id="567688892">
                          <w:marLeft w:val="0"/>
                          <w:marRight w:val="0"/>
                          <w:marTop w:val="0"/>
                          <w:marBottom w:val="0"/>
                          <w:divBdr>
                            <w:top w:val="none" w:sz="0" w:space="0" w:color="auto"/>
                            <w:left w:val="none" w:sz="0" w:space="0" w:color="auto"/>
                            <w:bottom w:val="none" w:sz="0" w:space="0" w:color="auto"/>
                            <w:right w:val="none" w:sz="0" w:space="0" w:color="auto"/>
                          </w:divBdr>
                        </w:div>
                        <w:div w:id="1249458468">
                          <w:marLeft w:val="0"/>
                          <w:marRight w:val="0"/>
                          <w:marTop w:val="0"/>
                          <w:marBottom w:val="0"/>
                          <w:divBdr>
                            <w:top w:val="none" w:sz="0" w:space="0" w:color="auto"/>
                            <w:left w:val="none" w:sz="0" w:space="0" w:color="auto"/>
                            <w:bottom w:val="none" w:sz="0" w:space="0" w:color="auto"/>
                            <w:right w:val="none" w:sz="0" w:space="0" w:color="auto"/>
                          </w:divBdr>
                        </w:div>
                        <w:div w:id="1145314666">
                          <w:marLeft w:val="0"/>
                          <w:marRight w:val="0"/>
                          <w:marTop w:val="0"/>
                          <w:marBottom w:val="0"/>
                          <w:divBdr>
                            <w:top w:val="none" w:sz="0" w:space="0" w:color="auto"/>
                            <w:left w:val="none" w:sz="0" w:space="0" w:color="auto"/>
                            <w:bottom w:val="none" w:sz="0" w:space="0" w:color="auto"/>
                            <w:right w:val="none" w:sz="0" w:space="0" w:color="auto"/>
                          </w:divBdr>
                        </w:div>
                        <w:div w:id="1885216686">
                          <w:marLeft w:val="0"/>
                          <w:marRight w:val="0"/>
                          <w:marTop w:val="0"/>
                          <w:marBottom w:val="0"/>
                          <w:divBdr>
                            <w:top w:val="none" w:sz="0" w:space="0" w:color="auto"/>
                            <w:left w:val="none" w:sz="0" w:space="0" w:color="auto"/>
                            <w:bottom w:val="none" w:sz="0" w:space="0" w:color="auto"/>
                            <w:right w:val="none" w:sz="0" w:space="0" w:color="auto"/>
                          </w:divBdr>
                        </w:div>
                        <w:div w:id="1453741751">
                          <w:marLeft w:val="0"/>
                          <w:marRight w:val="0"/>
                          <w:marTop w:val="0"/>
                          <w:marBottom w:val="0"/>
                          <w:divBdr>
                            <w:top w:val="none" w:sz="0" w:space="0" w:color="auto"/>
                            <w:left w:val="none" w:sz="0" w:space="0" w:color="auto"/>
                            <w:bottom w:val="none" w:sz="0" w:space="0" w:color="auto"/>
                            <w:right w:val="none" w:sz="0" w:space="0" w:color="auto"/>
                          </w:divBdr>
                        </w:div>
                        <w:div w:id="1326127515">
                          <w:marLeft w:val="0"/>
                          <w:marRight w:val="0"/>
                          <w:marTop w:val="0"/>
                          <w:marBottom w:val="0"/>
                          <w:divBdr>
                            <w:top w:val="none" w:sz="0" w:space="0" w:color="auto"/>
                            <w:left w:val="none" w:sz="0" w:space="0" w:color="auto"/>
                            <w:bottom w:val="none" w:sz="0" w:space="0" w:color="auto"/>
                            <w:right w:val="none" w:sz="0" w:space="0" w:color="auto"/>
                          </w:divBdr>
                        </w:div>
                        <w:div w:id="1542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4838">
          <w:marLeft w:val="0"/>
          <w:marRight w:val="0"/>
          <w:marTop w:val="0"/>
          <w:marBottom w:val="0"/>
          <w:divBdr>
            <w:top w:val="none" w:sz="0" w:space="0" w:color="auto"/>
            <w:left w:val="none" w:sz="0" w:space="0" w:color="auto"/>
            <w:bottom w:val="none" w:sz="0" w:space="0" w:color="auto"/>
            <w:right w:val="none" w:sz="0" w:space="0" w:color="auto"/>
          </w:divBdr>
          <w:divsChild>
            <w:div w:id="1776173023">
              <w:marLeft w:val="0"/>
              <w:marRight w:val="0"/>
              <w:marTop w:val="0"/>
              <w:marBottom w:val="0"/>
              <w:divBdr>
                <w:top w:val="none" w:sz="0" w:space="0" w:color="auto"/>
                <w:left w:val="none" w:sz="0" w:space="0" w:color="auto"/>
                <w:bottom w:val="none" w:sz="0" w:space="0" w:color="auto"/>
                <w:right w:val="none" w:sz="0" w:space="0" w:color="auto"/>
              </w:divBdr>
            </w:div>
          </w:divsChild>
        </w:div>
        <w:div w:id="1056006415">
          <w:marLeft w:val="0"/>
          <w:marRight w:val="0"/>
          <w:marTop w:val="0"/>
          <w:marBottom w:val="0"/>
          <w:divBdr>
            <w:top w:val="none" w:sz="0" w:space="0" w:color="auto"/>
            <w:left w:val="none" w:sz="0" w:space="0" w:color="auto"/>
            <w:bottom w:val="none" w:sz="0" w:space="0" w:color="auto"/>
            <w:right w:val="none" w:sz="0" w:space="0" w:color="auto"/>
          </w:divBdr>
          <w:divsChild>
            <w:div w:id="721902733">
              <w:marLeft w:val="0"/>
              <w:marRight w:val="0"/>
              <w:marTop w:val="0"/>
              <w:marBottom w:val="0"/>
              <w:divBdr>
                <w:top w:val="none" w:sz="0" w:space="0" w:color="auto"/>
                <w:left w:val="none" w:sz="0" w:space="0" w:color="auto"/>
                <w:bottom w:val="none" w:sz="0" w:space="0" w:color="auto"/>
                <w:right w:val="none" w:sz="0" w:space="0" w:color="auto"/>
              </w:divBdr>
            </w:div>
          </w:divsChild>
        </w:div>
        <w:div w:id="137961823">
          <w:marLeft w:val="0"/>
          <w:marRight w:val="0"/>
          <w:marTop w:val="0"/>
          <w:marBottom w:val="0"/>
          <w:divBdr>
            <w:top w:val="none" w:sz="0" w:space="0" w:color="auto"/>
            <w:left w:val="none" w:sz="0" w:space="0" w:color="auto"/>
            <w:bottom w:val="none" w:sz="0" w:space="0" w:color="auto"/>
            <w:right w:val="none" w:sz="0" w:space="0" w:color="auto"/>
          </w:divBdr>
          <w:divsChild>
            <w:div w:id="62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17">
      <w:bodyDiv w:val="1"/>
      <w:marLeft w:val="0"/>
      <w:marRight w:val="0"/>
      <w:marTop w:val="0"/>
      <w:marBottom w:val="0"/>
      <w:divBdr>
        <w:top w:val="none" w:sz="0" w:space="0" w:color="auto"/>
        <w:left w:val="none" w:sz="0" w:space="0" w:color="auto"/>
        <w:bottom w:val="none" w:sz="0" w:space="0" w:color="auto"/>
        <w:right w:val="none" w:sz="0" w:space="0" w:color="auto"/>
      </w:divBdr>
    </w:div>
    <w:div w:id="1485049179">
      <w:bodyDiv w:val="1"/>
      <w:marLeft w:val="0"/>
      <w:marRight w:val="0"/>
      <w:marTop w:val="0"/>
      <w:marBottom w:val="0"/>
      <w:divBdr>
        <w:top w:val="none" w:sz="0" w:space="0" w:color="auto"/>
        <w:left w:val="none" w:sz="0" w:space="0" w:color="auto"/>
        <w:bottom w:val="none" w:sz="0" w:space="0" w:color="auto"/>
        <w:right w:val="none" w:sz="0" w:space="0" w:color="auto"/>
      </w:divBdr>
    </w:div>
    <w:div w:id="1844973990">
      <w:bodyDiv w:val="1"/>
      <w:marLeft w:val="0"/>
      <w:marRight w:val="0"/>
      <w:marTop w:val="0"/>
      <w:marBottom w:val="0"/>
      <w:divBdr>
        <w:top w:val="none" w:sz="0" w:space="0" w:color="auto"/>
        <w:left w:val="none" w:sz="0" w:space="0" w:color="auto"/>
        <w:bottom w:val="none" w:sz="0" w:space="0" w:color="auto"/>
        <w:right w:val="none" w:sz="0" w:space="0" w:color="auto"/>
      </w:divBdr>
    </w:div>
    <w:div w:id="1962417860">
      <w:bodyDiv w:val="1"/>
      <w:marLeft w:val="0"/>
      <w:marRight w:val="0"/>
      <w:marTop w:val="0"/>
      <w:marBottom w:val="0"/>
      <w:divBdr>
        <w:top w:val="none" w:sz="0" w:space="0" w:color="auto"/>
        <w:left w:val="none" w:sz="0" w:space="0" w:color="auto"/>
        <w:bottom w:val="none" w:sz="0" w:space="0" w:color="auto"/>
        <w:right w:val="none" w:sz="0" w:space="0" w:color="auto"/>
      </w:divBdr>
    </w:div>
    <w:div w:id="20353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LPmdUJSn2GJDSUu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1093</Words>
  <Characters>6232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JAB国際交流委員会_助成金募集要項ASBH</vt:lpstr>
    </vt:vector>
  </TitlesOfParts>
  <Manager/>
  <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JAB国際交流委員会_助成金募集要項ASBH</dc:title>
  <dc:subject/>
  <dc:creator>山本圭一郎</dc:creator>
  <cp:keywords/>
  <dc:description/>
  <cp:lastModifiedBy>Keiichiro Yamamoto</cp:lastModifiedBy>
  <cp:revision>8</cp:revision>
  <cp:lastPrinted>2019-06-24T04:08:00Z</cp:lastPrinted>
  <dcterms:created xsi:type="dcterms:W3CDTF">2022-06-30T02:25:00Z</dcterms:created>
  <dcterms:modified xsi:type="dcterms:W3CDTF">2022-06-30T04:33:00Z</dcterms:modified>
  <cp:category/>
</cp:coreProperties>
</file>